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3F60F" w14:textId="77777777" w:rsidR="00B17781" w:rsidRPr="00B17781" w:rsidRDefault="00B17781" w:rsidP="00B17781">
      <w:pPr>
        <w:rPr>
          <w:b/>
          <w:bCs/>
          <w:lang w:val="en-US"/>
        </w:rPr>
      </w:pPr>
      <w:r w:rsidRPr="00B17781">
        <w:rPr>
          <w:b/>
          <w:bCs/>
          <w:lang w:val="en-US"/>
        </w:rPr>
        <w:t>Beyond Migration: Why the Future of Labour Mobility May Not Involve Crossing Borders</w:t>
      </w:r>
    </w:p>
    <w:p w14:paraId="75BAC4F0" w14:textId="77777777" w:rsidR="00554397" w:rsidRPr="00554397" w:rsidRDefault="00554397" w:rsidP="00554397">
      <w:pPr>
        <w:rPr>
          <w:lang w:val="en-US"/>
        </w:rPr>
      </w:pPr>
      <w:r w:rsidRPr="00554397">
        <w:rPr>
          <w:i/>
          <w:iCs/>
          <w:lang w:val="en-US"/>
        </w:rPr>
        <w:t>By Dr Zebo Isakova</w:t>
      </w:r>
    </w:p>
    <w:p w14:paraId="19220FBE" w14:textId="77777777" w:rsidR="00554397" w:rsidRPr="00554397" w:rsidRDefault="00554397" w:rsidP="00554397">
      <w:pPr>
        <w:rPr>
          <w:lang w:val="en-US"/>
        </w:rPr>
      </w:pPr>
      <w:r w:rsidRPr="00554397">
        <w:rPr>
          <w:lang w:val="en-US"/>
        </w:rPr>
        <w:t>For decades, migration policy has focused on a simple question: how many people cross borders in search of work?</w:t>
      </w:r>
    </w:p>
    <w:p w14:paraId="4AC2BCDF" w14:textId="77777777" w:rsidR="00554397" w:rsidRPr="00554397" w:rsidRDefault="00554397" w:rsidP="00554397">
      <w:pPr>
        <w:rPr>
          <w:lang w:val="en-US"/>
        </w:rPr>
      </w:pPr>
      <w:r w:rsidRPr="00554397">
        <w:rPr>
          <w:lang w:val="en-US"/>
        </w:rPr>
        <w:t>This question remains important. Labour migration continues to shape economies, labour markets and livelihoods across Central Asia. Millions of workers seek employment abroad, while remittances remain a vital source of income for households and communities.</w:t>
      </w:r>
    </w:p>
    <w:p w14:paraId="2BD4907A" w14:textId="77777777" w:rsidR="00554397" w:rsidRPr="00554397" w:rsidRDefault="00554397" w:rsidP="00554397">
      <w:pPr>
        <w:rPr>
          <w:lang w:val="en-US"/>
        </w:rPr>
      </w:pPr>
      <w:r w:rsidRPr="00554397">
        <w:rPr>
          <w:lang w:val="en-US"/>
        </w:rPr>
        <w:t>Yet discussions at the recent ETF Migration Research Forum in Brussels highlighted a reality that policymakers can no longer ignore: labour mobility is changing.</w:t>
      </w:r>
    </w:p>
    <w:p w14:paraId="14B76D84" w14:textId="77777777" w:rsidR="00554397" w:rsidRPr="00554397" w:rsidRDefault="00554397" w:rsidP="00554397">
      <w:pPr>
        <w:rPr>
          <w:lang w:val="en-US"/>
        </w:rPr>
      </w:pPr>
      <w:r w:rsidRPr="00554397">
        <w:rPr>
          <w:lang w:val="en-US"/>
        </w:rPr>
        <w:t>Throughout the forum, researchers, policymakers and international experts examined labour shortages, skills partnerships, qualifications recognition, return migration, platform work and the future of labour mobility. A recurring message emerged across these discussions: understanding migration today requires understanding skills.</w:t>
      </w:r>
    </w:p>
    <w:p w14:paraId="5BF12895" w14:textId="77777777" w:rsidR="00554397" w:rsidRPr="00554397" w:rsidRDefault="00554397" w:rsidP="00554397">
      <w:pPr>
        <w:rPr>
          <w:lang w:val="en-US"/>
        </w:rPr>
      </w:pPr>
      <w:r w:rsidRPr="00554397">
        <w:rPr>
          <w:lang w:val="en-US"/>
        </w:rPr>
        <w:t>At the same time, the European Training Foundation launched its new Migration and Skills Dashboard, bringing together migration, employment, education and skills indicators in a single platform. The dashboard represents an important step forward. It encourages policymakers to move beyond counting migrants and towards understanding how skills, education and labour markets interact. Yet it also raises an important question.</w:t>
      </w:r>
    </w:p>
    <w:p w14:paraId="4DAECED8" w14:textId="77777777" w:rsidR="00554397" w:rsidRPr="00554397" w:rsidRDefault="00554397" w:rsidP="00554397">
      <w:pPr>
        <w:rPr>
          <w:lang w:val="en-US"/>
        </w:rPr>
      </w:pPr>
      <w:r w:rsidRPr="00554397">
        <w:rPr>
          <w:lang w:val="en-US"/>
        </w:rPr>
        <w:t>If our migration intelligence systems continue to measure only the movement of people, are we overlooking the growing movement of work?</w:t>
      </w:r>
    </w:p>
    <w:p w14:paraId="464211D4" w14:textId="77777777" w:rsidR="00554397" w:rsidRPr="00554397" w:rsidRDefault="00554397" w:rsidP="00554397">
      <w:pPr>
        <w:rPr>
          <w:lang w:val="en-US"/>
        </w:rPr>
      </w:pPr>
      <w:r w:rsidRPr="00554397">
        <w:rPr>
          <w:lang w:val="en-US"/>
        </w:rPr>
        <w:t>This question is particularly relevant for Central Asia.</w:t>
      </w:r>
    </w:p>
    <w:p w14:paraId="6FB2D84A" w14:textId="77777777" w:rsidR="00554397" w:rsidRPr="00554397" w:rsidRDefault="00554397" w:rsidP="00554397">
      <w:pPr>
        <w:rPr>
          <w:lang w:val="en-US"/>
        </w:rPr>
      </w:pPr>
      <w:r w:rsidRPr="00554397">
        <w:rPr>
          <w:lang w:val="en-US"/>
        </w:rPr>
        <w:t>The region is experiencing rapid demographic growth, expanding access to higher education, increasing internet connectivity and growing participation in digital labour platforms. Young people today are more connected, more educated and more globally engaged than previous generations.</w:t>
      </w:r>
    </w:p>
    <w:p w14:paraId="3B208CC3" w14:textId="77777777" w:rsidR="00554397" w:rsidRPr="00554397" w:rsidRDefault="00554397" w:rsidP="00554397">
      <w:pPr>
        <w:rPr>
          <w:lang w:val="en-US"/>
        </w:rPr>
      </w:pPr>
      <w:r w:rsidRPr="00554397">
        <w:rPr>
          <w:lang w:val="en-US"/>
        </w:rPr>
        <w:t xml:space="preserve">As I argued during the forum in my presentation </w:t>
      </w:r>
      <w:r w:rsidRPr="00554397">
        <w:rPr>
          <w:i/>
          <w:iCs/>
          <w:lang w:val="en-US"/>
        </w:rPr>
        <w:t>From Migration to Telemigration: Mapping the Skills and Policy Challenges of Uzbekistan’s Platform Workforce</w:t>
      </w:r>
      <w:r w:rsidRPr="00554397">
        <w:rPr>
          <w:lang w:val="en-US"/>
        </w:rPr>
        <w:t>, participation in international labour markets increasingly occurs without physical migration. A software developer in Tashkent can work for a German client. A graphic designer in Bukhara can provide services to customers in Belgium. A tutor in a rural district can teach students abroad while remaining in her community.</w:t>
      </w:r>
    </w:p>
    <w:p w14:paraId="6AC4F4AC" w14:textId="77777777" w:rsidR="00554397" w:rsidRPr="00554397" w:rsidRDefault="00554397" w:rsidP="00554397">
      <w:pPr>
        <w:rPr>
          <w:lang w:val="en-US"/>
        </w:rPr>
      </w:pPr>
      <w:r w:rsidRPr="00554397">
        <w:rPr>
          <w:lang w:val="en-US"/>
        </w:rPr>
        <w:t>Work is crossing borders even when people do not.</w:t>
      </w:r>
    </w:p>
    <w:p w14:paraId="20EB508A" w14:textId="77777777" w:rsidR="00554397" w:rsidRPr="00554397" w:rsidRDefault="00554397" w:rsidP="00554397">
      <w:pPr>
        <w:rPr>
          <w:lang w:val="en-US"/>
        </w:rPr>
      </w:pPr>
      <w:r w:rsidRPr="00554397">
        <w:rPr>
          <w:lang w:val="en-US"/>
        </w:rPr>
        <w:t>This phenomenon, often referred to as telemigration, challenges many of the assumptions that underpin migration policies, labour market statistics and skills governance systems. Digital freelancers are exporting services, earning foreign income and building international careers without appearing in traditional migration statistics. As a result, they are often globally visible to clients and algorithms, but institutionally invisible to the systems designed to recognise and protect workers.</w:t>
      </w:r>
    </w:p>
    <w:p w14:paraId="7E7D80E4" w14:textId="77777777" w:rsidR="00554397" w:rsidRPr="00554397" w:rsidRDefault="00554397" w:rsidP="00554397">
      <w:pPr>
        <w:rPr>
          <w:lang w:val="en-US"/>
        </w:rPr>
      </w:pPr>
      <w:r w:rsidRPr="00554397">
        <w:rPr>
          <w:lang w:val="en-US"/>
        </w:rPr>
        <w:t>My research with digital freelancers in Uzbekistan suggests that telemigration is not replacing traditional migration. Rather, it is creating a second mobility corridor—one made not of roads and airports, but of digital platforms, data flows and skills. For some workers, freelancing reduces pressure to migrate. For others, it serves as preparation for future mobility by helping them acquire skills, experience and international networks. Physical and digital mobility increasingly reinforce one another rather than compete.</w:t>
      </w:r>
    </w:p>
    <w:p w14:paraId="2FC6A4F6" w14:textId="77777777" w:rsidR="00554397" w:rsidRPr="00554397" w:rsidRDefault="00554397" w:rsidP="00554397">
      <w:pPr>
        <w:rPr>
          <w:lang w:val="en-US"/>
        </w:rPr>
      </w:pPr>
      <w:r w:rsidRPr="00554397">
        <w:rPr>
          <w:lang w:val="en-US"/>
        </w:rPr>
        <w:t>The findings also reveal important governance challenges.</w:t>
      </w:r>
    </w:p>
    <w:p w14:paraId="72B34E33" w14:textId="77777777" w:rsidR="00554397" w:rsidRPr="00554397" w:rsidRDefault="00554397" w:rsidP="00554397">
      <w:pPr>
        <w:rPr>
          <w:lang w:val="en-US"/>
        </w:rPr>
      </w:pPr>
      <w:r w:rsidRPr="00554397">
        <w:rPr>
          <w:lang w:val="en-US"/>
        </w:rPr>
        <w:lastRenderedPageBreak/>
        <w:t>Many freelancers acquire valuable competencies through online courses, self-learning, practical experience and platform-based work. Yet these skills often remain outside formal qualifications systems. Social protection remains limited, income instability is common, and women and rural workers continue to face barriers linked to infrastructure, social norms and unequal access to professional networks. Digital transformation alone does not eliminate inequality; in many cases it reproduces existing divides in new forms.</w:t>
      </w:r>
    </w:p>
    <w:p w14:paraId="63CBFCC0" w14:textId="77777777" w:rsidR="00554397" w:rsidRPr="00554397" w:rsidRDefault="00554397" w:rsidP="00554397">
      <w:pPr>
        <w:rPr>
          <w:lang w:val="en-US"/>
        </w:rPr>
      </w:pPr>
      <w:r w:rsidRPr="00554397">
        <w:rPr>
          <w:lang w:val="en-US"/>
        </w:rPr>
        <w:t>This is why skills development has become central to the future of labour mobility.</w:t>
      </w:r>
    </w:p>
    <w:p w14:paraId="23AC4644" w14:textId="77777777" w:rsidR="00554397" w:rsidRPr="00554397" w:rsidRDefault="00554397" w:rsidP="00554397">
      <w:pPr>
        <w:rPr>
          <w:lang w:val="en-US"/>
        </w:rPr>
      </w:pPr>
      <w:r w:rsidRPr="00554397">
        <w:rPr>
          <w:lang w:val="en-US"/>
        </w:rPr>
        <w:t>Across Central Asia, governments are investing in digitalisation, vocational education and training, qualifications reforms and lifelong learning. The challenge is no longer simply preparing people for jobs. Increasingly, it is preparing them for participation in global labour markets—whether they move physically or digitally.</w:t>
      </w:r>
    </w:p>
    <w:p w14:paraId="2310637D" w14:textId="77777777" w:rsidR="00554397" w:rsidRPr="00554397" w:rsidRDefault="00554397" w:rsidP="00554397">
      <w:pPr>
        <w:rPr>
          <w:lang w:val="en-US"/>
        </w:rPr>
      </w:pPr>
      <w:r w:rsidRPr="00554397">
        <w:rPr>
          <w:lang w:val="en-US"/>
        </w:rPr>
        <w:t>This requires new approaches to skills recognition. Traditional qualifications frameworks were designed for formal education pathways and conventional employment relationships. They are often poorly equipped to recognise micro-credentials, digital badges, portfolios and competencies acquired through platform work. As labour markets evolve, systems for Recognition of Prior Learning and validation of non-formal and informal learning will become increasingly important.</w:t>
      </w:r>
    </w:p>
    <w:p w14:paraId="46C58282" w14:textId="77777777" w:rsidR="00554397" w:rsidRPr="00554397" w:rsidRDefault="00554397" w:rsidP="00554397">
      <w:pPr>
        <w:rPr>
          <w:lang w:val="en-US"/>
        </w:rPr>
      </w:pPr>
      <w:r w:rsidRPr="00554397">
        <w:rPr>
          <w:lang w:val="en-US"/>
        </w:rPr>
        <w:t>The implications extend beyond Central Asia.</w:t>
      </w:r>
    </w:p>
    <w:p w14:paraId="222C95BD" w14:textId="77777777" w:rsidR="00554397" w:rsidRPr="00554397" w:rsidRDefault="00554397" w:rsidP="00554397">
      <w:pPr>
        <w:rPr>
          <w:lang w:val="en-US"/>
        </w:rPr>
      </w:pPr>
      <w:r w:rsidRPr="00554397">
        <w:rPr>
          <w:lang w:val="en-US"/>
        </w:rPr>
        <w:t>European countries face demographic pressures and growing skills shortages. At the same time, countries such as Uzbekistan possess young and increasingly digitally connected populations seeking opportunities to participate in global labour markets. Initiatives such as Talent Partnerships, skills portability mechanisms and qualifications recognition frameworks offer opportunities to connect these interests in ways that are mutually beneficial.</w:t>
      </w:r>
    </w:p>
    <w:p w14:paraId="23792557" w14:textId="77777777" w:rsidR="00554397" w:rsidRPr="00554397" w:rsidRDefault="00554397" w:rsidP="00554397">
      <w:pPr>
        <w:rPr>
          <w:lang w:val="en-US"/>
        </w:rPr>
      </w:pPr>
      <w:r w:rsidRPr="00554397">
        <w:rPr>
          <w:lang w:val="en-US"/>
        </w:rPr>
        <w:t>This is where the concept of a "triple win" becomes particularly relevant.</w:t>
      </w:r>
    </w:p>
    <w:p w14:paraId="799A3E7D" w14:textId="77777777" w:rsidR="00554397" w:rsidRPr="00554397" w:rsidRDefault="00554397" w:rsidP="00554397">
      <w:pPr>
        <w:rPr>
          <w:lang w:val="en-US"/>
        </w:rPr>
      </w:pPr>
      <w:r w:rsidRPr="00554397">
        <w:rPr>
          <w:lang w:val="en-US"/>
        </w:rPr>
        <w:t>Digital labour mobility has the potential to create:</w:t>
      </w:r>
    </w:p>
    <w:p w14:paraId="2D5C30FB" w14:textId="77777777" w:rsidR="00554397" w:rsidRPr="00554397" w:rsidRDefault="00554397" w:rsidP="00554397">
      <w:pPr>
        <w:numPr>
          <w:ilvl w:val="0"/>
          <w:numId w:val="2"/>
        </w:numPr>
        <w:rPr>
          <w:lang w:val="en-US"/>
        </w:rPr>
      </w:pPr>
      <w:r w:rsidRPr="00554397">
        <w:rPr>
          <w:lang w:val="en-US"/>
        </w:rPr>
        <w:t>a win for individuals, who gain access to better employment opportunities, higher incomes and international experience;</w:t>
      </w:r>
    </w:p>
    <w:p w14:paraId="44CFD27E" w14:textId="77777777" w:rsidR="00554397" w:rsidRPr="00554397" w:rsidRDefault="00554397" w:rsidP="00554397">
      <w:pPr>
        <w:numPr>
          <w:ilvl w:val="0"/>
          <w:numId w:val="2"/>
        </w:numPr>
        <w:rPr>
          <w:lang w:val="en-US"/>
        </w:rPr>
      </w:pPr>
      <w:r w:rsidRPr="00554397">
        <w:rPr>
          <w:lang w:val="en-US"/>
        </w:rPr>
        <w:t>a win for countries of origin, which can retain talent while benefiting from skills development, innovation and international economic participation;</w:t>
      </w:r>
    </w:p>
    <w:p w14:paraId="73CB0649" w14:textId="77777777" w:rsidR="00554397" w:rsidRPr="00554397" w:rsidRDefault="00554397" w:rsidP="00554397">
      <w:pPr>
        <w:numPr>
          <w:ilvl w:val="0"/>
          <w:numId w:val="2"/>
        </w:numPr>
        <w:rPr>
          <w:lang w:val="en-US"/>
        </w:rPr>
      </w:pPr>
      <w:r w:rsidRPr="00554397">
        <w:rPr>
          <w:lang w:val="en-US"/>
        </w:rPr>
        <w:t>a win for employers and destination economies, which gain access to qualified workers and new forms of cross-border collaboration.</w:t>
      </w:r>
    </w:p>
    <w:p w14:paraId="4EBD088B" w14:textId="77777777" w:rsidR="00554397" w:rsidRPr="00554397" w:rsidRDefault="00554397" w:rsidP="00554397">
      <w:pPr>
        <w:rPr>
          <w:lang w:val="en-US"/>
        </w:rPr>
      </w:pPr>
      <w:r w:rsidRPr="00554397">
        <w:rPr>
          <w:lang w:val="en-US"/>
        </w:rPr>
        <w:t>But these outcomes are not automatic.</w:t>
      </w:r>
    </w:p>
    <w:p w14:paraId="44FD973C" w14:textId="77777777" w:rsidR="00554397" w:rsidRPr="00554397" w:rsidRDefault="00554397" w:rsidP="00554397">
      <w:pPr>
        <w:rPr>
          <w:lang w:val="en-US"/>
        </w:rPr>
      </w:pPr>
      <w:r w:rsidRPr="00554397">
        <w:rPr>
          <w:lang w:val="en-US"/>
        </w:rPr>
        <w:t>Without effective governance, telemigration can also contribute to informality, insecurity, unequal access to opportunities and new forms of labour market exclusion. The challenge for policymakers is therefore not simply technological adoption. It is creating institutions capable of recognising, supporting and protecting workers whose labour mobility increasingly occurs through digital rather than physical channels.</w:t>
      </w:r>
    </w:p>
    <w:p w14:paraId="4F9FB15D" w14:textId="77777777" w:rsidR="00554397" w:rsidRPr="00554397" w:rsidRDefault="00554397" w:rsidP="00554397">
      <w:pPr>
        <w:rPr>
          <w:lang w:val="en-US"/>
        </w:rPr>
      </w:pPr>
      <w:r w:rsidRPr="00554397">
        <w:rPr>
          <w:lang w:val="en-US"/>
        </w:rPr>
        <w:t>The future of labour mobility is not only about the movement of people across borders.</w:t>
      </w:r>
    </w:p>
    <w:p w14:paraId="3C640B16" w14:textId="77777777" w:rsidR="00554397" w:rsidRPr="00554397" w:rsidRDefault="00554397" w:rsidP="00554397">
      <w:pPr>
        <w:rPr>
          <w:lang w:val="en-US"/>
        </w:rPr>
      </w:pPr>
      <w:r w:rsidRPr="00554397">
        <w:rPr>
          <w:lang w:val="en-US"/>
        </w:rPr>
        <w:t>Increasingly, it is also about the movement of skills.</w:t>
      </w:r>
    </w:p>
    <w:p w14:paraId="650A1DB6" w14:textId="77777777" w:rsidR="00554397" w:rsidRPr="00554397" w:rsidRDefault="00554397" w:rsidP="00554397">
      <w:pPr>
        <w:rPr>
          <w:lang w:val="en-US"/>
        </w:rPr>
      </w:pPr>
      <w:r w:rsidRPr="00554397">
        <w:rPr>
          <w:lang w:val="en-US"/>
        </w:rPr>
        <w:t>As labour markets continue to evolve, evidence-based policies will be essential to ensure that digital mobility contributes to inclusion, development and shared prosperity.</w:t>
      </w:r>
    </w:p>
    <w:p w14:paraId="6398D132" w14:textId="4011D421" w:rsidR="00A67E0C" w:rsidRPr="00B17781" w:rsidRDefault="00554397" w:rsidP="000D0211">
      <w:pPr>
        <w:rPr>
          <w:lang w:val="en-US"/>
        </w:rPr>
      </w:pPr>
      <w:r w:rsidRPr="00554397">
        <w:rPr>
          <w:lang w:val="en-US"/>
        </w:rPr>
        <w:lastRenderedPageBreak/>
        <w:t>Because in the digital age, the most important border may no longer be a geographical one. It may be the divide between those who can participate in the global labour market and those who cannot.</w:t>
      </w:r>
    </w:p>
    <w:sectPr w:rsidR="00A67E0C" w:rsidRPr="00B177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7149B"/>
    <w:multiLevelType w:val="multilevel"/>
    <w:tmpl w:val="5DBC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12760B"/>
    <w:multiLevelType w:val="multilevel"/>
    <w:tmpl w:val="A1FE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0012832">
    <w:abstractNumId w:val="0"/>
  </w:num>
  <w:num w:numId="2" w16cid:durableId="851454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E0C"/>
    <w:rsid w:val="000D0211"/>
    <w:rsid w:val="00554397"/>
    <w:rsid w:val="006D6DBA"/>
    <w:rsid w:val="007F4E1A"/>
    <w:rsid w:val="00862B6B"/>
    <w:rsid w:val="00A67E0C"/>
    <w:rsid w:val="00AE0DD0"/>
    <w:rsid w:val="00B17781"/>
    <w:rsid w:val="00D63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5DB8"/>
  <w15:chartTrackingRefBased/>
  <w15:docId w15:val="{2B7F2534-1BB6-4723-9F63-D8A9A006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67E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67E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67E0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67E0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67E0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67E0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7E0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7E0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7E0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7E0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67E0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67E0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67E0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67E0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67E0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7E0C"/>
    <w:rPr>
      <w:rFonts w:eastAsiaTheme="majorEastAsia" w:cstheme="majorBidi"/>
      <w:color w:val="595959" w:themeColor="text1" w:themeTint="A6"/>
    </w:rPr>
  </w:style>
  <w:style w:type="character" w:customStyle="1" w:styleId="80">
    <w:name w:val="Заголовок 8 Знак"/>
    <w:basedOn w:val="a0"/>
    <w:link w:val="8"/>
    <w:uiPriority w:val="9"/>
    <w:semiHidden/>
    <w:rsid w:val="00A67E0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7E0C"/>
    <w:rPr>
      <w:rFonts w:eastAsiaTheme="majorEastAsia" w:cstheme="majorBidi"/>
      <w:color w:val="272727" w:themeColor="text1" w:themeTint="D8"/>
    </w:rPr>
  </w:style>
  <w:style w:type="paragraph" w:styleId="a3">
    <w:name w:val="Title"/>
    <w:basedOn w:val="a"/>
    <w:next w:val="a"/>
    <w:link w:val="a4"/>
    <w:uiPriority w:val="10"/>
    <w:qFormat/>
    <w:rsid w:val="00A67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7E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E0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67E0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7E0C"/>
    <w:pPr>
      <w:spacing w:before="160"/>
      <w:jc w:val="center"/>
    </w:pPr>
    <w:rPr>
      <w:i/>
      <w:iCs/>
      <w:color w:val="404040" w:themeColor="text1" w:themeTint="BF"/>
    </w:rPr>
  </w:style>
  <w:style w:type="character" w:customStyle="1" w:styleId="22">
    <w:name w:val="Цитата 2 Знак"/>
    <w:basedOn w:val="a0"/>
    <w:link w:val="21"/>
    <w:uiPriority w:val="29"/>
    <w:rsid w:val="00A67E0C"/>
    <w:rPr>
      <w:i/>
      <w:iCs/>
      <w:color w:val="404040" w:themeColor="text1" w:themeTint="BF"/>
    </w:rPr>
  </w:style>
  <w:style w:type="paragraph" w:styleId="a7">
    <w:name w:val="List Paragraph"/>
    <w:basedOn w:val="a"/>
    <w:uiPriority w:val="34"/>
    <w:qFormat/>
    <w:rsid w:val="00A67E0C"/>
    <w:pPr>
      <w:ind w:left="720"/>
      <w:contextualSpacing/>
    </w:pPr>
  </w:style>
  <w:style w:type="character" w:styleId="a8">
    <w:name w:val="Intense Emphasis"/>
    <w:basedOn w:val="a0"/>
    <w:uiPriority w:val="21"/>
    <w:qFormat/>
    <w:rsid w:val="00A67E0C"/>
    <w:rPr>
      <w:i/>
      <w:iCs/>
      <w:color w:val="2F5496" w:themeColor="accent1" w:themeShade="BF"/>
    </w:rPr>
  </w:style>
  <w:style w:type="paragraph" w:styleId="a9">
    <w:name w:val="Intense Quote"/>
    <w:basedOn w:val="a"/>
    <w:next w:val="a"/>
    <w:link w:val="aa"/>
    <w:uiPriority w:val="30"/>
    <w:qFormat/>
    <w:rsid w:val="00A67E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67E0C"/>
    <w:rPr>
      <w:i/>
      <w:iCs/>
      <w:color w:val="2F5496" w:themeColor="accent1" w:themeShade="BF"/>
    </w:rPr>
  </w:style>
  <w:style w:type="character" w:styleId="ab">
    <w:name w:val="Intense Reference"/>
    <w:basedOn w:val="a0"/>
    <w:uiPriority w:val="32"/>
    <w:qFormat/>
    <w:rsid w:val="00A67E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1026</Words>
  <Characters>5853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Zebo Isakova</dc:creator>
  <cp:keywords/>
  <dc:description/>
  <cp:lastModifiedBy>Zebo Isakova</cp:lastModifiedBy>
  <cp:revision>2</cp:revision>
  <dcterms:created xsi:type="dcterms:W3CDTF">2026-06-13T13:47:00Z</dcterms:created>
  <dcterms:modified xsi:type="dcterms:W3CDTF">2026-06-13T16:12:00Z</dcterms:modified>
</cp:coreProperties>
</file>