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8EB71" w14:textId="205C9B58" w:rsidR="002A102D" w:rsidRPr="000E73CA" w:rsidRDefault="00B457AC" w:rsidP="000B2428">
      <w:pPr>
        <w:pStyle w:val="Heading1"/>
        <w:spacing w:after="0"/>
        <w:rPr>
          <w:rFonts w:asciiTheme="majorHAnsi" w:eastAsiaTheme="majorEastAsia" w:hAnsiTheme="majorHAnsi" w:cstheme="majorBidi"/>
          <w:b w:val="0"/>
          <w:bCs w:val="0"/>
          <w:color w:val="00495D" w:themeColor="text2" w:themeShade="80"/>
          <w:kern w:val="2"/>
          <w:sz w:val="40"/>
          <w:szCs w:val="40"/>
          <w14:ligatures w14:val="standardContextual"/>
        </w:rPr>
      </w:pPr>
      <w:r>
        <w:rPr>
          <w:rFonts w:asciiTheme="majorHAnsi" w:eastAsiaTheme="majorEastAsia" w:hAnsiTheme="majorHAnsi" w:cstheme="majorBidi"/>
          <w:b w:val="0"/>
          <w:bCs w:val="0"/>
          <w:color w:val="00495D" w:themeColor="text2" w:themeShade="80"/>
          <w:kern w:val="2"/>
          <w:sz w:val="40"/>
          <w:szCs w:val="40"/>
          <w:lang w:val="ro"/>
          <w14:ligatures w14:val="standardContextual"/>
        </w:rPr>
        <w:t xml:space="preserve">Studiu de caz nr. 3 - </w:t>
      </w:r>
      <w:proofErr w:type="spellStart"/>
      <w:r>
        <w:rPr>
          <w:rFonts w:asciiTheme="majorHAnsi" w:eastAsiaTheme="majorEastAsia" w:hAnsiTheme="majorHAnsi" w:cstheme="majorBidi"/>
          <w:b w:val="0"/>
          <w:bCs w:val="0"/>
          <w:color w:val="00495D" w:themeColor="text2" w:themeShade="80"/>
          <w:kern w:val="2"/>
          <w:sz w:val="40"/>
          <w:szCs w:val="40"/>
          <w:lang w:val="ro"/>
          <w14:ligatures w14:val="standardContextual"/>
        </w:rPr>
        <w:t>Sanovia</w:t>
      </w:r>
      <w:proofErr w:type="spellEnd"/>
      <w:r>
        <w:rPr>
          <w:rFonts w:asciiTheme="majorHAnsi" w:eastAsiaTheme="majorEastAsia" w:hAnsiTheme="majorHAnsi" w:cstheme="majorBidi"/>
          <w:b w:val="0"/>
          <w:bCs w:val="0"/>
          <w:color w:val="00495D" w:themeColor="text2" w:themeShade="80"/>
          <w:kern w:val="2"/>
          <w:sz w:val="40"/>
          <w:szCs w:val="40"/>
          <w:lang w:val="ro"/>
          <w14:ligatures w14:val="standardContextual"/>
        </w:rPr>
        <w:t xml:space="preserve"> î</w:t>
      </w:r>
      <w:r w:rsidR="00BC723B">
        <w:rPr>
          <w:rFonts w:asciiTheme="majorHAnsi" w:eastAsiaTheme="majorEastAsia" w:hAnsiTheme="majorHAnsi" w:cstheme="majorBidi"/>
          <w:b w:val="0"/>
          <w:bCs w:val="0"/>
          <w:color w:val="00495D" w:themeColor="text2" w:themeShade="80"/>
          <w:kern w:val="2"/>
          <w:sz w:val="40"/>
          <w:szCs w:val="40"/>
          <w:lang w:val="ro"/>
          <w14:ligatures w14:val="standardContextual"/>
        </w:rPr>
        <w:t xml:space="preserve">n </w:t>
      </w:r>
      <w:r>
        <w:rPr>
          <w:rFonts w:asciiTheme="majorHAnsi" w:eastAsiaTheme="majorEastAsia" w:hAnsiTheme="majorHAnsi" w:cstheme="majorBidi"/>
          <w:b w:val="0"/>
          <w:bCs w:val="0"/>
          <w:color w:val="00495D" w:themeColor="text2" w:themeShade="80"/>
          <w:kern w:val="2"/>
          <w:sz w:val="40"/>
          <w:szCs w:val="40"/>
          <w:lang w:val="ro"/>
          <w14:ligatures w14:val="standardContextual"/>
        </w:rPr>
        <w:t>acț</w:t>
      </w:r>
      <w:r w:rsidR="00BC723B">
        <w:rPr>
          <w:rFonts w:asciiTheme="majorHAnsi" w:eastAsiaTheme="majorEastAsia" w:hAnsiTheme="majorHAnsi" w:cstheme="majorBidi"/>
          <w:b w:val="0"/>
          <w:bCs w:val="0"/>
          <w:color w:val="00495D" w:themeColor="text2" w:themeShade="80"/>
          <w:kern w:val="2"/>
          <w:sz w:val="40"/>
          <w:szCs w:val="40"/>
          <w:lang w:val="ro"/>
          <w14:ligatures w14:val="standardContextual"/>
        </w:rPr>
        <w:t>i</w:t>
      </w:r>
      <w:r>
        <w:rPr>
          <w:rFonts w:asciiTheme="majorHAnsi" w:eastAsiaTheme="majorEastAsia" w:hAnsiTheme="majorHAnsi" w:cstheme="majorBidi"/>
          <w:b w:val="0"/>
          <w:bCs w:val="0"/>
          <w:color w:val="00495D" w:themeColor="text2" w:themeShade="80"/>
          <w:kern w:val="2"/>
          <w:sz w:val="40"/>
          <w:szCs w:val="40"/>
          <w:lang w:val="ro"/>
          <w14:ligatures w14:val="standardContextual"/>
        </w:rPr>
        <w:t>une</w:t>
      </w:r>
    </w:p>
    <w:p w14:paraId="2EAD56B9" w14:textId="7B033500" w:rsidR="00575BB8" w:rsidRPr="00096994" w:rsidRDefault="00BC723B" w:rsidP="00FA6B10">
      <w:pPr>
        <w:pStyle w:val="Heading3"/>
        <w:rPr>
          <w:color w:val="auto"/>
        </w:rPr>
      </w:pPr>
      <w:r>
        <w:rPr>
          <w:color w:val="auto"/>
          <w:lang w:val="ro"/>
        </w:rPr>
        <w:t>Context</w:t>
      </w:r>
      <w:bookmarkStart w:id="0" w:name="_GoBack"/>
      <w:bookmarkEnd w:id="0"/>
    </w:p>
    <w:p w14:paraId="5873A24A" w14:textId="77777777" w:rsidR="00FA6B10" w:rsidRPr="00096994" w:rsidRDefault="00FA6B10" w:rsidP="00FA6B10">
      <w:pPr>
        <w:pStyle w:val="Heading3"/>
        <w:rPr>
          <w:b w:val="0"/>
          <w:bCs w:val="0"/>
          <w:color w:val="auto"/>
          <w:sz w:val="22"/>
          <w:szCs w:val="24"/>
        </w:rPr>
      </w:pPr>
      <w:r>
        <w:rPr>
          <w:b w:val="0"/>
          <w:bCs w:val="0"/>
          <w:color w:val="auto"/>
          <w:sz w:val="22"/>
          <w:szCs w:val="24"/>
          <w:lang w:val="ro"/>
        </w:rPr>
        <w:t>Sanovia este o țară de dimensiuni mici, descentralizată politic (populație: 7 milioane), emergentă dintr-un conflict intern la sfârșitul anilor 1990. Guvernanța sa este modelată de un echilibru delicat între autoritățile naționale și cele regionale. Educația este gestionată prin intermediul a 15 ministere regionale, fiecare având o autonomie puternică asupra curriculumului, finanțării și organizării sistemului, în timp ce ministerul central are în principal un rol de coordonare, cu puteri limitate de a impune.</w:t>
      </w:r>
    </w:p>
    <w:p w14:paraId="6725CD44" w14:textId="77777777" w:rsidR="00FA6B10" w:rsidRPr="00096994" w:rsidRDefault="00FA6B10" w:rsidP="00FA6B10">
      <w:pPr>
        <w:pStyle w:val="Heading3"/>
        <w:rPr>
          <w:b w:val="0"/>
          <w:bCs w:val="0"/>
          <w:color w:val="auto"/>
          <w:sz w:val="22"/>
          <w:szCs w:val="24"/>
        </w:rPr>
      </w:pPr>
      <w:r>
        <w:rPr>
          <w:b w:val="0"/>
          <w:bCs w:val="0"/>
          <w:color w:val="auto"/>
          <w:sz w:val="22"/>
          <w:szCs w:val="24"/>
          <w:lang w:val="ro"/>
        </w:rPr>
        <w:t>Până la începutul anilor 2010, au devenit tot mai evidente îngrijorările legate de performanța sistemului. Participarea la evaluări internaționale a evidențiat rezultate medii ale elevilor cu aproximativ 32 de puncte procentuale mai scăzute, semnificativ sub reperele internaționale, peste jumătate dintre elevi neatingând nivelurile de competență de bază. În același timp, disparitățile structurale persistau în întregul sistem. În mai multe regiuni, ratele abandonului au ajuns la 60–70%, în special în rândul grupurilor dezavantajate. Deși accesul la învățământul primar era aproape universal, progresia și absolvirea la nivelurile superioare au rămas neuniforme.</w:t>
      </w:r>
    </w:p>
    <w:p w14:paraId="3040A87C" w14:textId="77777777" w:rsidR="00FA6B10" w:rsidRPr="00096994" w:rsidRDefault="00FA6B10" w:rsidP="00FA6B10">
      <w:pPr>
        <w:pStyle w:val="Heading3"/>
        <w:rPr>
          <w:b w:val="0"/>
          <w:bCs w:val="0"/>
          <w:color w:val="auto"/>
          <w:sz w:val="22"/>
          <w:szCs w:val="24"/>
        </w:rPr>
      </w:pPr>
      <w:r>
        <w:rPr>
          <w:b w:val="0"/>
          <w:bCs w:val="0"/>
          <w:color w:val="auto"/>
          <w:sz w:val="22"/>
          <w:szCs w:val="24"/>
          <w:lang w:val="ro"/>
        </w:rPr>
        <w:t>Indicatorii pieței muncii au confirmat și au amplificat aceste îngrijorări. Șomajul în rândul tinerilor a depășit 25%, iar angajatorii au semnalat dificultăți în găsirea lucrătorilor cu competențe adecvate. Numeroși absolvenți s-au orientat către domenii cu cerere redusă, în timp ce sectoarele care necesitau competențe tehnice se confruntau cu dificultăți în atragerea candidaților calificați.</w:t>
      </w:r>
    </w:p>
    <w:p w14:paraId="3B8C5D69" w14:textId="77777777" w:rsidR="00FA6B10" w:rsidRPr="00096994" w:rsidRDefault="00FA6B10" w:rsidP="00FA6B10">
      <w:pPr>
        <w:pStyle w:val="Heading3"/>
        <w:rPr>
          <w:b w:val="0"/>
          <w:bCs w:val="0"/>
          <w:color w:val="auto"/>
          <w:sz w:val="22"/>
          <w:szCs w:val="24"/>
        </w:rPr>
      </w:pPr>
      <w:r>
        <w:rPr>
          <w:b w:val="0"/>
          <w:bCs w:val="0"/>
          <w:color w:val="auto"/>
          <w:sz w:val="22"/>
          <w:szCs w:val="24"/>
          <w:lang w:val="ro"/>
        </w:rPr>
        <w:t>Aceste provocări au devenit un element central al dezbaterii publice și politice, fiind asociate tot mai frecvent cu relația dintre performanța educațională, dezvoltarea economică și stabilitatea socială.</w:t>
      </w:r>
    </w:p>
    <w:p w14:paraId="12E8601C" w14:textId="77777777" w:rsidR="00FA6B10" w:rsidRPr="00096994" w:rsidRDefault="00FA6B10" w:rsidP="00FA6B10">
      <w:pPr>
        <w:pStyle w:val="Heading3"/>
        <w:rPr>
          <w:b w:val="0"/>
          <w:bCs w:val="0"/>
          <w:color w:val="auto"/>
          <w:sz w:val="22"/>
          <w:szCs w:val="24"/>
        </w:rPr>
      </w:pPr>
      <w:r>
        <w:rPr>
          <w:b w:val="0"/>
          <w:bCs w:val="0"/>
          <w:color w:val="auto"/>
          <w:sz w:val="22"/>
          <w:szCs w:val="24"/>
          <w:lang w:val="ro"/>
        </w:rPr>
        <w:t>Ca răspuns, Sanovia a lansat o strategie amplă de reformă a educației pentru perioada 2012–2020, elaborată pe parcursul a doi ani și implicând o gamă largă de actori, inclusiv autorități naționale și regionale, angajatori și parteneri internaționali.</w:t>
      </w:r>
    </w:p>
    <w:p w14:paraId="77BBD947" w14:textId="77777777" w:rsidR="00FA6B10" w:rsidRPr="00096994" w:rsidRDefault="00FA6B10" w:rsidP="00FA6B10">
      <w:pPr>
        <w:pStyle w:val="Heading3"/>
        <w:rPr>
          <w:b w:val="0"/>
          <w:bCs w:val="0"/>
          <w:color w:val="auto"/>
          <w:sz w:val="22"/>
          <w:szCs w:val="24"/>
        </w:rPr>
      </w:pPr>
      <w:r>
        <w:rPr>
          <w:b w:val="0"/>
          <w:bCs w:val="0"/>
          <w:color w:val="auto"/>
          <w:sz w:val="22"/>
          <w:szCs w:val="24"/>
          <w:lang w:val="ro"/>
        </w:rPr>
        <w:t>Procesul a reunit perspective diferite:</w:t>
      </w:r>
    </w:p>
    <w:p w14:paraId="7C8B6117" w14:textId="4CCAA93A" w:rsidR="00FA6B10" w:rsidRPr="00096994" w:rsidRDefault="00FA6B10" w:rsidP="00FA6B10">
      <w:pPr>
        <w:pStyle w:val="BodyText"/>
        <w:numPr>
          <w:ilvl w:val="0"/>
          <w:numId w:val="30"/>
        </w:numPr>
        <w:rPr>
          <w:color w:val="auto"/>
          <w:sz w:val="22"/>
          <w:szCs w:val="24"/>
        </w:rPr>
      </w:pPr>
      <w:r>
        <w:rPr>
          <w:color w:val="auto"/>
          <w:sz w:val="22"/>
          <w:szCs w:val="24"/>
          <w:lang w:val="ro"/>
        </w:rPr>
        <w:t>Reprezentanții regionali au insistat asupra autonomiei și a adaptării la specificul local</w:t>
      </w:r>
    </w:p>
    <w:p w14:paraId="0A18A991" w14:textId="6A63C5CD" w:rsidR="00FA6B10" w:rsidRPr="00096994" w:rsidRDefault="00FA6B10" w:rsidP="00FA6B10">
      <w:pPr>
        <w:pStyle w:val="BodyText"/>
        <w:numPr>
          <w:ilvl w:val="0"/>
          <w:numId w:val="30"/>
        </w:numPr>
        <w:rPr>
          <w:color w:val="auto"/>
          <w:sz w:val="22"/>
          <w:szCs w:val="24"/>
        </w:rPr>
      </w:pPr>
      <w:r>
        <w:rPr>
          <w:color w:val="auto"/>
          <w:sz w:val="22"/>
          <w:szCs w:val="24"/>
          <w:lang w:val="ro"/>
        </w:rPr>
        <w:t>Autoritățile naționale au vizat consolidarea coerenței sistemului</w:t>
      </w:r>
    </w:p>
    <w:p w14:paraId="6F2DDD0A" w14:textId="10A83C44" w:rsidR="00FA6B10" w:rsidRPr="00096994" w:rsidRDefault="00FA6B10" w:rsidP="00FA6B10">
      <w:pPr>
        <w:pStyle w:val="BodyText"/>
        <w:numPr>
          <w:ilvl w:val="0"/>
          <w:numId w:val="30"/>
        </w:numPr>
        <w:rPr>
          <w:color w:val="auto"/>
          <w:sz w:val="22"/>
          <w:szCs w:val="24"/>
        </w:rPr>
      </w:pPr>
      <w:r>
        <w:rPr>
          <w:color w:val="auto"/>
          <w:sz w:val="22"/>
          <w:szCs w:val="24"/>
          <w:lang w:val="ro"/>
        </w:rPr>
        <w:t>Partenerii internaționali au promovat modele axate pe relevanța pentru piața muncii</w:t>
      </w:r>
    </w:p>
    <w:p w14:paraId="2BE0A1C4" w14:textId="77777777" w:rsidR="00FA6B10" w:rsidRPr="00096994" w:rsidRDefault="00FA6B10" w:rsidP="00FA6B10">
      <w:pPr>
        <w:pStyle w:val="Heading3"/>
        <w:rPr>
          <w:b w:val="0"/>
          <w:bCs w:val="0"/>
          <w:color w:val="auto"/>
          <w:sz w:val="22"/>
          <w:szCs w:val="24"/>
        </w:rPr>
      </w:pPr>
      <w:r>
        <w:rPr>
          <w:b w:val="0"/>
          <w:bCs w:val="0"/>
          <w:color w:val="auto"/>
          <w:sz w:val="22"/>
          <w:szCs w:val="24"/>
          <w:lang w:val="ro"/>
        </w:rPr>
        <w:t>Strategia rezultată a reflectat aceste influențe multiple. Aceasta avea o anvergură largă, acoperind toate nivelurile educației, și a fost prezentată politic drept o reformă transformatoare menită să îmbunătățească competitivitatea economică și să alinieze sistemul la standardele internaționale.</w:t>
      </w:r>
    </w:p>
    <w:p w14:paraId="1EAACCE3" w14:textId="4135E00A" w:rsidR="000B2428" w:rsidRPr="00096994" w:rsidRDefault="000B2428" w:rsidP="00FA6B10">
      <w:pPr>
        <w:pStyle w:val="Heading3"/>
        <w:rPr>
          <w:color w:val="auto"/>
        </w:rPr>
      </w:pPr>
      <w:r>
        <w:rPr>
          <w:color w:val="auto"/>
          <w:lang w:val="ro"/>
        </w:rPr>
        <w:lastRenderedPageBreak/>
        <w:t>Prioritățile reformei</w:t>
      </w:r>
    </w:p>
    <w:p w14:paraId="624E61EE" w14:textId="77777777" w:rsidR="00FA6B10" w:rsidRPr="00096994" w:rsidRDefault="00FA6B10" w:rsidP="00FA6B10">
      <w:pPr>
        <w:pStyle w:val="BodyText"/>
        <w:rPr>
          <w:color w:val="auto"/>
          <w:sz w:val="22"/>
          <w:szCs w:val="24"/>
        </w:rPr>
      </w:pPr>
      <w:r>
        <w:rPr>
          <w:color w:val="auto"/>
          <w:sz w:val="22"/>
          <w:szCs w:val="24"/>
          <w:lang w:val="ro"/>
        </w:rPr>
        <w:t>Reforma a conturat mai multe priorități-cheie:</w:t>
      </w:r>
    </w:p>
    <w:p w14:paraId="740FDB26" w14:textId="77777777" w:rsidR="00FA6B10" w:rsidRPr="00096994" w:rsidRDefault="00FA6B10" w:rsidP="00FA6B10">
      <w:pPr>
        <w:pStyle w:val="BodyText"/>
        <w:numPr>
          <w:ilvl w:val="0"/>
          <w:numId w:val="31"/>
        </w:numPr>
        <w:rPr>
          <w:color w:val="auto"/>
          <w:sz w:val="22"/>
          <w:szCs w:val="24"/>
        </w:rPr>
      </w:pPr>
      <w:r>
        <w:rPr>
          <w:color w:val="auto"/>
          <w:sz w:val="22"/>
          <w:szCs w:val="24"/>
          <w:lang w:val="ro"/>
        </w:rPr>
        <w:t>Armonizarea curriculumului între regiuni</w:t>
      </w:r>
    </w:p>
    <w:p w14:paraId="1F572C08" w14:textId="77777777" w:rsidR="00FA6B10" w:rsidRPr="00096994" w:rsidRDefault="00FA6B10" w:rsidP="00FA6B10">
      <w:pPr>
        <w:pStyle w:val="BodyText"/>
        <w:numPr>
          <w:ilvl w:val="0"/>
          <w:numId w:val="31"/>
        </w:numPr>
        <w:rPr>
          <w:color w:val="auto"/>
          <w:sz w:val="22"/>
          <w:szCs w:val="24"/>
        </w:rPr>
      </w:pPr>
      <w:r>
        <w:rPr>
          <w:color w:val="auto"/>
          <w:sz w:val="22"/>
          <w:szCs w:val="24"/>
          <w:lang w:val="ro"/>
        </w:rPr>
        <w:t>Extinderea învățământului dual și a învățării la locul de muncă</w:t>
      </w:r>
    </w:p>
    <w:p w14:paraId="6E40DFAF" w14:textId="77777777" w:rsidR="00FA6B10" w:rsidRPr="00096994" w:rsidRDefault="00FA6B10" w:rsidP="00FA6B10">
      <w:pPr>
        <w:pStyle w:val="BodyText"/>
        <w:numPr>
          <w:ilvl w:val="0"/>
          <w:numId w:val="31"/>
        </w:numPr>
        <w:rPr>
          <w:color w:val="auto"/>
          <w:sz w:val="22"/>
          <w:szCs w:val="24"/>
        </w:rPr>
      </w:pPr>
      <w:r>
        <w:rPr>
          <w:color w:val="auto"/>
          <w:sz w:val="22"/>
          <w:szCs w:val="24"/>
          <w:lang w:val="ro"/>
        </w:rPr>
        <w:t>Îmbunătățirea calității cadrelor didactice</w:t>
      </w:r>
    </w:p>
    <w:p w14:paraId="49D21FEE" w14:textId="77777777" w:rsidR="00FA6B10" w:rsidRPr="00096994" w:rsidRDefault="00FA6B10" w:rsidP="00FA6B10">
      <w:pPr>
        <w:pStyle w:val="BodyText"/>
        <w:numPr>
          <w:ilvl w:val="0"/>
          <w:numId w:val="31"/>
        </w:numPr>
        <w:rPr>
          <w:color w:val="auto"/>
          <w:sz w:val="22"/>
          <w:szCs w:val="24"/>
        </w:rPr>
      </w:pPr>
      <w:r>
        <w:rPr>
          <w:color w:val="auto"/>
          <w:sz w:val="22"/>
          <w:szCs w:val="24"/>
          <w:lang w:val="ro"/>
        </w:rPr>
        <w:t xml:space="preserve">Creșterea accesului </w:t>
      </w:r>
    </w:p>
    <w:p w14:paraId="1D1FC1E8" w14:textId="77777777" w:rsidR="00FA6B10" w:rsidRPr="00096994" w:rsidRDefault="00FA6B10" w:rsidP="00FA6B10">
      <w:pPr>
        <w:pStyle w:val="BodyText"/>
        <w:numPr>
          <w:ilvl w:val="0"/>
          <w:numId w:val="31"/>
        </w:numPr>
        <w:rPr>
          <w:color w:val="auto"/>
          <w:sz w:val="22"/>
          <w:szCs w:val="24"/>
        </w:rPr>
      </w:pPr>
      <w:r>
        <w:rPr>
          <w:color w:val="auto"/>
          <w:sz w:val="22"/>
          <w:szCs w:val="24"/>
          <w:lang w:val="ro"/>
        </w:rPr>
        <w:t>Consolidarea implicării sectorului privat</w:t>
      </w:r>
    </w:p>
    <w:p w14:paraId="665EAFF4" w14:textId="77777777" w:rsidR="00FA6B10" w:rsidRPr="00096994" w:rsidRDefault="00FA6B10" w:rsidP="00FA6B10">
      <w:pPr>
        <w:pStyle w:val="BodyText"/>
        <w:numPr>
          <w:ilvl w:val="0"/>
          <w:numId w:val="31"/>
        </w:numPr>
        <w:rPr>
          <w:color w:val="auto"/>
          <w:sz w:val="22"/>
          <w:szCs w:val="24"/>
        </w:rPr>
      </w:pPr>
      <w:r>
        <w:rPr>
          <w:color w:val="auto"/>
          <w:sz w:val="22"/>
          <w:szCs w:val="24"/>
          <w:lang w:val="ro"/>
        </w:rPr>
        <w:t>Introducerea centrelor de excelență regionale în ÎPT</w:t>
      </w:r>
    </w:p>
    <w:p w14:paraId="59911934" w14:textId="77777777" w:rsidR="00FA6B10" w:rsidRPr="00096994" w:rsidRDefault="00FA6B10" w:rsidP="00FA6B10">
      <w:pPr>
        <w:pStyle w:val="BodyText"/>
        <w:numPr>
          <w:ilvl w:val="0"/>
          <w:numId w:val="31"/>
        </w:numPr>
        <w:rPr>
          <w:color w:val="auto"/>
          <w:sz w:val="22"/>
          <w:szCs w:val="24"/>
        </w:rPr>
      </w:pPr>
      <w:r>
        <w:rPr>
          <w:color w:val="auto"/>
          <w:sz w:val="22"/>
          <w:szCs w:val="24"/>
          <w:lang w:val="ro"/>
        </w:rPr>
        <w:t>Consolidarea guvernanței și a managementului sistemului</w:t>
      </w:r>
    </w:p>
    <w:p w14:paraId="2E80B982" w14:textId="77777777" w:rsidR="00FA6B10" w:rsidRPr="00096994" w:rsidRDefault="00FA6B10" w:rsidP="00FA6B10">
      <w:pPr>
        <w:pStyle w:val="BodyText"/>
        <w:numPr>
          <w:ilvl w:val="0"/>
          <w:numId w:val="31"/>
        </w:numPr>
        <w:rPr>
          <w:color w:val="auto"/>
          <w:sz w:val="22"/>
          <w:szCs w:val="24"/>
        </w:rPr>
      </w:pPr>
      <w:r>
        <w:rPr>
          <w:color w:val="auto"/>
          <w:sz w:val="22"/>
          <w:szCs w:val="24"/>
          <w:lang w:val="ro"/>
        </w:rPr>
        <w:t>Investiții în infrastructură și echipamente</w:t>
      </w:r>
    </w:p>
    <w:p w14:paraId="1B596CFF" w14:textId="77777777" w:rsidR="00FA6B10" w:rsidRPr="00096994" w:rsidRDefault="00FA6B10" w:rsidP="00FA6B10">
      <w:pPr>
        <w:pStyle w:val="BodyText"/>
        <w:rPr>
          <w:color w:val="auto"/>
          <w:sz w:val="22"/>
          <w:szCs w:val="24"/>
        </w:rPr>
      </w:pPr>
      <w:r>
        <w:rPr>
          <w:color w:val="auto"/>
          <w:sz w:val="22"/>
          <w:szCs w:val="24"/>
          <w:lang w:val="ro"/>
        </w:rPr>
        <w:t>A fost inclus un cadru structurat de obiective, rezultate și indicatori, alături de mecanisme de monitorizare care implicau multiple instituții.</w:t>
      </w:r>
    </w:p>
    <w:p w14:paraId="50B73206" w14:textId="77777777" w:rsidR="00FA6B10" w:rsidRPr="00096994" w:rsidRDefault="00FA6B10" w:rsidP="00FA6B10">
      <w:pPr>
        <w:pStyle w:val="BodyText"/>
        <w:rPr>
          <w:color w:val="auto"/>
          <w:sz w:val="22"/>
          <w:szCs w:val="24"/>
        </w:rPr>
      </w:pPr>
      <w:r>
        <w:rPr>
          <w:color w:val="auto"/>
          <w:sz w:val="22"/>
          <w:szCs w:val="24"/>
          <w:lang w:val="ro"/>
        </w:rPr>
        <w:t>În practică, accentul a fost pus pe:</w:t>
      </w:r>
    </w:p>
    <w:p w14:paraId="1F0703A6" w14:textId="6EEAFC31" w:rsidR="00FA6B10" w:rsidRPr="00096994" w:rsidRDefault="00FA6B10" w:rsidP="00FA6B10">
      <w:pPr>
        <w:pStyle w:val="BodyText"/>
        <w:numPr>
          <w:ilvl w:val="0"/>
          <w:numId w:val="32"/>
        </w:numPr>
        <w:rPr>
          <w:color w:val="auto"/>
          <w:sz w:val="22"/>
          <w:szCs w:val="24"/>
        </w:rPr>
      </w:pPr>
      <w:r>
        <w:rPr>
          <w:color w:val="auto"/>
          <w:sz w:val="22"/>
          <w:szCs w:val="24"/>
          <w:lang w:val="ro"/>
        </w:rPr>
        <w:t>extinderea infrastructurii</w:t>
      </w:r>
    </w:p>
    <w:p w14:paraId="2F853DAC" w14:textId="7CE28CFA" w:rsidR="000B2428" w:rsidRPr="00096994" w:rsidRDefault="000B2428" w:rsidP="000B2428">
      <w:pPr>
        <w:pStyle w:val="Heading3"/>
        <w:rPr>
          <w:color w:val="auto"/>
        </w:rPr>
      </w:pPr>
      <w:r>
        <w:rPr>
          <w:color w:val="auto"/>
          <w:lang w:val="ro"/>
        </w:rPr>
        <w:t>Finanțarea reformei</w:t>
      </w:r>
    </w:p>
    <w:p w14:paraId="3D6B4018" w14:textId="77777777" w:rsidR="00FA6B10" w:rsidRPr="00096994" w:rsidRDefault="00FA6B10" w:rsidP="00FA6B10">
      <w:pPr>
        <w:pStyle w:val="BodyText"/>
        <w:rPr>
          <w:color w:val="auto"/>
          <w:sz w:val="22"/>
          <w:szCs w:val="24"/>
        </w:rPr>
      </w:pPr>
      <w:r>
        <w:rPr>
          <w:color w:val="auto"/>
          <w:sz w:val="22"/>
          <w:szCs w:val="24"/>
          <w:lang w:val="ro"/>
        </w:rPr>
        <w:t>Strategia a fost susținută de un buget estimat la 4 miliarde de euro, combinând surse de finanțare naționale, regionale și internaționale. Au fost introduse mecanisme suplimentare pentru a sprijini implementarea, inclusiv stimulente pentru participarea angajatorilor și inițiative-pilot finanțate extern.</w:t>
      </w:r>
    </w:p>
    <w:p w14:paraId="48556037" w14:textId="798BA6AE" w:rsidR="000B2428" w:rsidRPr="00096994" w:rsidRDefault="000B2428" w:rsidP="000B2428">
      <w:pPr>
        <w:pStyle w:val="Heading3"/>
        <w:rPr>
          <w:color w:val="auto"/>
        </w:rPr>
      </w:pPr>
      <w:r>
        <w:rPr>
          <w:color w:val="auto"/>
          <w:lang w:val="ro"/>
        </w:rPr>
        <w:t>Experiența inițială de implementare</w:t>
      </w:r>
    </w:p>
    <w:p w14:paraId="5B83B7A3" w14:textId="77777777" w:rsidR="00FA6B10" w:rsidRPr="00096994" w:rsidRDefault="00FA6B10" w:rsidP="00FA6B10">
      <w:pPr>
        <w:pStyle w:val="BodyText"/>
        <w:rPr>
          <w:color w:val="auto"/>
          <w:sz w:val="22"/>
          <w:szCs w:val="24"/>
        </w:rPr>
      </w:pPr>
      <w:r>
        <w:rPr>
          <w:color w:val="auto"/>
          <w:sz w:val="22"/>
          <w:szCs w:val="24"/>
          <w:lang w:val="ro"/>
        </w:rPr>
        <w:t>În primii ani, reforma a generat o activitate substanțială:</w:t>
      </w:r>
    </w:p>
    <w:p w14:paraId="6728DE4D" w14:textId="77777777" w:rsidR="00FA6B10" w:rsidRPr="00096994" w:rsidRDefault="00FA6B10" w:rsidP="00FA6B10">
      <w:pPr>
        <w:pStyle w:val="BodyText"/>
        <w:numPr>
          <w:ilvl w:val="0"/>
          <w:numId w:val="32"/>
        </w:numPr>
        <w:rPr>
          <w:color w:val="auto"/>
          <w:sz w:val="22"/>
          <w:szCs w:val="24"/>
        </w:rPr>
      </w:pPr>
      <w:r>
        <w:rPr>
          <w:color w:val="auto"/>
          <w:sz w:val="22"/>
          <w:szCs w:val="24"/>
          <w:lang w:val="ro"/>
        </w:rPr>
        <w:t>Au fost edificate sau modernizate școli și infrastructura aferentă</w:t>
      </w:r>
    </w:p>
    <w:p w14:paraId="25E51401" w14:textId="77777777" w:rsidR="00FA6B10" w:rsidRPr="00096994" w:rsidRDefault="00FA6B10" w:rsidP="00FA6B10">
      <w:pPr>
        <w:pStyle w:val="BodyText"/>
        <w:numPr>
          <w:ilvl w:val="0"/>
          <w:numId w:val="32"/>
        </w:numPr>
        <w:rPr>
          <w:color w:val="auto"/>
          <w:sz w:val="22"/>
          <w:szCs w:val="24"/>
        </w:rPr>
      </w:pPr>
      <w:r>
        <w:rPr>
          <w:color w:val="auto"/>
          <w:sz w:val="22"/>
          <w:szCs w:val="24"/>
          <w:lang w:val="ro"/>
        </w:rPr>
        <w:t>Au fost lansate programe-pilot de educație duală, extinse treptat</w:t>
      </w:r>
    </w:p>
    <w:p w14:paraId="603D30A5" w14:textId="77777777" w:rsidR="00FA6B10" w:rsidRPr="00096994" w:rsidRDefault="00FA6B10" w:rsidP="00FA6B10">
      <w:pPr>
        <w:pStyle w:val="BodyText"/>
        <w:numPr>
          <w:ilvl w:val="0"/>
          <w:numId w:val="32"/>
        </w:numPr>
        <w:rPr>
          <w:color w:val="auto"/>
          <w:sz w:val="22"/>
          <w:szCs w:val="24"/>
        </w:rPr>
      </w:pPr>
      <w:r>
        <w:rPr>
          <w:color w:val="auto"/>
          <w:sz w:val="22"/>
          <w:szCs w:val="24"/>
          <w:lang w:val="ro"/>
        </w:rPr>
        <w:t>Au fost implementate inițiative de formare a cadrelor didactice</w:t>
      </w:r>
    </w:p>
    <w:p w14:paraId="1A4B883E" w14:textId="2A4B5882" w:rsidR="00FA6B10" w:rsidRPr="00096994" w:rsidRDefault="00FA6B10" w:rsidP="00FA6B10">
      <w:pPr>
        <w:pStyle w:val="BodyText"/>
        <w:rPr>
          <w:color w:val="auto"/>
          <w:sz w:val="22"/>
          <w:szCs w:val="24"/>
        </w:rPr>
      </w:pPr>
      <w:r>
        <w:rPr>
          <w:color w:val="auto"/>
          <w:sz w:val="22"/>
          <w:szCs w:val="24"/>
          <w:lang w:val="ro"/>
        </w:rPr>
        <w:t xml:space="preserve">Participarea la noile modele vocaționale a crescut modest, cu așteptarea că </w:t>
      </w:r>
      <w:r>
        <w:rPr>
          <w:b/>
          <w:bCs/>
          <w:color w:val="auto"/>
          <w:sz w:val="22"/>
          <w:szCs w:val="24"/>
          <w:lang w:val="ro"/>
        </w:rPr>
        <w:t>se va dubla în timp</w:t>
      </w:r>
      <w:r>
        <w:rPr>
          <w:color w:val="auto"/>
          <w:sz w:val="22"/>
          <w:szCs w:val="24"/>
          <w:lang w:val="ro"/>
        </w:rPr>
        <w:t>.</w:t>
      </w:r>
    </w:p>
    <w:p w14:paraId="5EB66BB1" w14:textId="77777777" w:rsidR="00FA6B10" w:rsidRPr="00096994" w:rsidRDefault="00FA6B10" w:rsidP="00FA6B10">
      <w:pPr>
        <w:pStyle w:val="BodyText"/>
        <w:rPr>
          <w:color w:val="auto"/>
          <w:sz w:val="22"/>
          <w:szCs w:val="24"/>
        </w:rPr>
      </w:pPr>
      <w:r>
        <w:rPr>
          <w:color w:val="auto"/>
          <w:sz w:val="22"/>
          <w:szCs w:val="24"/>
          <w:lang w:val="ro"/>
        </w:rPr>
        <w:t>Totuși, dinamica implementării a variat semnificativ:</w:t>
      </w:r>
    </w:p>
    <w:p w14:paraId="174E55D9" w14:textId="77777777" w:rsidR="00FA6B10" w:rsidRPr="00096994" w:rsidRDefault="00FA6B10" w:rsidP="00FA6B10">
      <w:pPr>
        <w:pStyle w:val="BodyText"/>
        <w:numPr>
          <w:ilvl w:val="0"/>
          <w:numId w:val="33"/>
        </w:numPr>
        <w:rPr>
          <w:color w:val="auto"/>
          <w:sz w:val="22"/>
          <w:szCs w:val="24"/>
        </w:rPr>
      </w:pPr>
      <w:r>
        <w:rPr>
          <w:color w:val="auto"/>
          <w:sz w:val="22"/>
          <w:szCs w:val="24"/>
          <w:lang w:val="ro"/>
        </w:rPr>
        <w:t>Unele regiuni au prioritizat dezvoltarea infrastructurii</w:t>
      </w:r>
    </w:p>
    <w:p w14:paraId="33401291" w14:textId="77777777" w:rsidR="00FA6B10" w:rsidRPr="00096994" w:rsidRDefault="00FA6B10" w:rsidP="00FA6B10">
      <w:pPr>
        <w:pStyle w:val="BodyText"/>
        <w:numPr>
          <w:ilvl w:val="0"/>
          <w:numId w:val="33"/>
        </w:numPr>
        <w:rPr>
          <w:color w:val="auto"/>
          <w:sz w:val="22"/>
          <w:szCs w:val="24"/>
        </w:rPr>
      </w:pPr>
      <w:r>
        <w:rPr>
          <w:color w:val="auto"/>
          <w:sz w:val="22"/>
          <w:szCs w:val="24"/>
          <w:lang w:val="ro"/>
        </w:rPr>
        <w:t>Altele s-au concentrat pe introducerea de programe noi</w:t>
      </w:r>
    </w:p>
    <w:p w14:paraId="3C150903" w14:textId="77777777" w:rsidR="00FA6B10" w:rsidRPr="00096994" w:rsidRDefault="00FA6B10" w:rsidP="00FA6B10">
      <w:pPr>
        <w:pStyle w:val="BodyText"/>
        <w:numPr>
          <w:ilvl w:val="0"/>
          <w:numId w:val="33"/>
        </w:numPr>
        <w:rPr>
          <w:color w:val="auto"/>
          <w:sz w:val="22"/>
          <w:szCs w:val="24"/>
        </w:rPr>
      </w:pPr>
      <w:r>
        <w:rPr>
          <w:color w:val="auto"/>
          <w:sz w:val="22"/>
          <w:szCs w:val="24"/>
          <w:lang w:val="ro"/>
        </w:rPr>
        <w:t>Ritmul de implementare a variat între regiuni</w:t>
      </w:r>
    </w:p>
    <w:p w14:paraId="0E0784BF" w14:textId="77777777" w:rsidR="00FA6B10" w:rsidRPr="00096994" w:rsidRDefault="00FA6B10" w:rsidP="00FA6B10">
      <w:pPr>
        <w:pStyle w:val="BodyText"/>
        <w:numPr>
          <w:ilvl w:val="0"/>
          <w:numId w:val="33"/>
        </w:numPr>
        <w:rPr>
          <w:color w:val="auto"/>
          <w:sz w:val="22"/>
          <w:szCs w:val="24"/>
        </w:rPr>
      </w:pPr>
      <w:r>
        <w:rPr>
          <w:color w:val="auto"/>
          <w:sz w:val="22"/>
          <w:szCs w:val="24"/>
          <w:lang w:val="ro"/>
        </w:rPr>
        <w:t xml:space="preserve">Toți donatorii implicați, precum și regiunile, au urmat planuri de acțiune proprii </w:t>
      </w:r>
    </w:p>
    <w:p w14:paraId="517C3FE5" w14:textId="77777777" w:rsidR="00FA6B10" w:rsidRPr="00096994" w:rsidRDefault="00FA6B10" w:rsidP="00FA6B10">
      <w:pPr>
        <w:pStyle w:val="BodyText"/>
        <w:numPr>
          <w:ilvl w:val="0"/>
          <w:numId w:val="33"/>
        </w:numPr>
        <w:rPr>
          <w:color w:val="auto"/>
          <w:sz w:val="22"/>
          <w:szCs w:val="24"/>
        </w:rPr>
      </w:pPr>
      <w:r>
        <w:rPr>
          <w:color w:val="auto"/>
          <w:sz w:val="22"/>
          <w:szCs w:val="24"/>
          <w:lang w:val="ro"/>
        </w:rPr>
        <w:t>În această perioadă nu a existat coordonare, întrucât guvernul a optat pentru flexibilitate, ghidându-se doar după cadrul logic și lista de priorități bugetate, potrivit unui calcul estimativ</w:t>
      </w:r>
    </w:p>
    <w:p w14:paraId="26AC09FC" w14:textId="77777777" w:rsidR="00FA6B10" w:rsidRPr="00096994" w:rsidRDefault="00FA6B10" w:rsidP="00FA6B10">
      <w:pPr>
        <w:pStyle w:val="BodyText"/>
        <w:numPr>
          <w:ilvl w:val="0"/>
          <w:numId w:val="33"/>
        </w:numPr>
        <w:rPr>
          <w:color w:val="auto"/>
          <w:sz w:val="22"/>
          <w:szCs w:val="24"/>
        </w:rPr>
      </w:pPr>
      <w:r>
        <w:rPr>
          <w:color w:val="auto"/>
          <w:sz w:val="22"/>
          <w:szCs w:val="24"/>
          <w:lang w:val="ro"/>
        </w:rPr>
        <w:t xml:space="preserve">Sistemele de monitorizare au urmărit implementarea abia la final, prin verificarea tuturor rezultatelor, realizate sau nu, în special a activităților finalizate și a fondurilor plătite. </w:t>
      </w:r>
    </w:p>
    <w:p w14:paraId="3107E190" w14:textId="77777777" w:rsidR="00FA6B10" w:rsidRPr="00096994" w:rsidRDefault="00FA6B10" w:rsidP="00FA6B10">
      <w:pPr>
        <w:pStyle w:val="BodyText"/>
        <w:rPr>
          <w:color w:val="auto"/>
          <w:sz w:val="22"/>
          <w:szCs w:val="24"/>
        </w:rPr>
      </w:pPr>
      <w:r>
        <w:rPr>
          <w:color w:val="auto"/>
          <w:sz w:val="22"/>
          <w:szCs w:val="24"/>
          <w:lang w:val="ro"/>
        </w:rPr>
        <w:lastRenderedPageBreak/>
        <w:t xml:space="preserve">Pentru unele domenii, în special în ceea ce privește dezvoltarea profesională continuă a cadrelor didactice (DPC), au fost raportate depășiri ale țintelor, însă ulterior s-a constatat că organizațiile donatoare au raportat cifre, de asemenea contabilizate de minister, ceea ce a generat, pentru o perioadă, neînțelegeri. </w:t>
      </w:r>
    </w:p>
    <w:p w14:paraId="16652310" w14:textId="77777777" w:rsidR="00FA6B10" w:rsidRPr="00096994" w:rsidRDefault="00FA6B10" w:rsidP="00FA6B10">
      <w:pPr>
        <w:pStyle w:val="BodyText"/>
        <w:rPr>
          <w:color w:val="auto"/>
          <w:sz w:val="22"/>
          <w:szCs w:val="24"/>
        </w:rPr>
      </w:pPr>
      <w:r>
        <w:rPr>
          <w:color w:val="auto"/>
          <w:sz w:val="22"/>
          <w:szCs w:val="24"/>
          <w:lang w:val="ro"/>
        </w:rPr>
        <w:t xml:space="preserve">În timp, părțile interesate au început să reflecteze mai profund la interacțiunea dintre diferitele componente ale reformei, la exercitarea responsabilităților și la alinierea resurselor la priorități. Deosebit de interesantă a fost dezbaterea privind necesitatea integrării costurilor educației duale suportate de întreprinderi. </w:t>
      </w:r>
    </w:p>
    <w:p w14:paraId="19427F16" w14:textId="03CAB8BB" w:rsidR="000B2428" w:rsidRPr="00096994" w:rsidRDefault="000B2428" w:rsidP="000B2428">
      <w:pPr>
        <w:pStyle w:val="Heading3"/>
        <w:rPr>
          <w:color w:val="auto"/>
        </w:rPr>
      </w:pPr>
      <w:r>
        <w:rPr>
          <w:color w:val="auto"/>
          <w:lang w:val="ro"/>
        </w:rPr>
        <w:t>5. CADRUL LOGIC AL SANOVIEI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3"/>
        <w:gridCol w:w="4254"/>
        <w:gridCol w:w="3457"/>
      </w:tblGrid>
      <w:tr w:rsidR="00FA6B10" w:rsidRPr="00096994" w14:paraId="025091C4"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70B10D2" w14:textId="77777777" w:rsidR="00FA6B10" w:rsidRPr="00096994" w:rsidRDefault="00FA6B10" w:rsidP="00FA6B10">
            <w:pPr>
              <w:pStyle w:val="TableFirstColumn"/>
              <w:rPr>
                <w:b/>
                <w:bCs w:val="0"/>
                <w:color w:val="auto"/>
                <w:sz w:val="22"/>
                <w:szCs w:val="32"/>
              </w:rPr>
            </w:pPr>
            <w:r>
              <w:rPr>
                <w:b/>
                <w:color w:val="auto"/>
                <w:sz w:val="22"/>
                <w:szCs w:val="32"/>
                <w:lang w:val="ro"/>
              </w:rPr>
              <w:t>Nivel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E911312" w14:textId="77777777" w:rsidR="00FA6B10" w:rsidRPr="00096994" w:rsidRDefault="00FA6B10" w:rsidP="00FA6B10">
            <w:pPr>
              <w:pStyle w:val="TableFirstColumn"/>
              <w:rPr>
                <w:b/>
                <w:bCs w:val="0"/>
                <w:color w:val="auto"/>
                <w:sz w:val="22"/>
                <w:szCs w:val="32"/>
              </w:rPr>
            </w:pPr>
            <w:r>
              <w:rPr>
                <w:b/>
                <w:color w:val="auto"/>
                <w:sz w:val="22"/>
                <w:szCs w:val="32"/>
                <w:lang w:val="ro"/>
              </w:rPr>
              <w:t>Descriere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E9557A8" w14:textId="77777777" w:rsidR="00FA6B10" w:rsidRPr="00096994" w:rsidRDefault="00FA6B10" w:rsidP="00FA6B10">
            <w:pPr>
              <w:pStyle w:val="TableFirstColumn"/>
              <w:rPr>
                <w:b/>
                <w:bCs w:val="0"/>
                <w:color w:val="auto"/>
                <w:sz w:val="22"/>
                <w:szCs w:val="32"/>
              </w:rPr>
            </w:pPr>
            <w:r>
              <w:rPr>
                <w:b/>
                <w:color w:val="auto"/>
                <w:sz w:val="22"/>
                <w:szCs w:val="32"/>
                <w:lang w:val="ro"/>
              </w:rPr>
              <w:t>Indicatori</w:t>
            </w:r>
          </w:p>
        </w:tc>
      </w:tr>
      <w:tr w:rsidR="00FA6B10" w:rsidRPr="00096994" w14:paraId="7B06C6B7"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7F4B57D" w14:textId="77777777" w:rsidR="00FA6B10" w:rsidRPr="00096994" w:rsidRDefault="00FA6B10" w:rsidP="00F31C10">
            <w:pPr>
              <w:rPr>
                <w:b/>
                <w:bCs/>
              </w:rPr>
            </w:pPr>
            <w:r>
              <w:rPr>
                <w:b/>
                <w:bCs/>
                <w:lang w:val="ro"/>
              </w:rPr>
              <w:t>Impact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E3597A" w14:textId="77777777" w:rsidR="00FA6B10" w:rsidRPr="00096994" w:rsidRDefault="00FA6B10" w:rsidP="00FA6B10">
            <w:pPr>
              <w:pStyle w:val="TableText"/>
              <w:rPr>
                <w:color w:val="auto"/>
                <w:sz w:val="20"/>
                <w:szCs w:val="28"/>
              </w:rPr>
            </w:pPr>
            <w:r>
              <w:rPr>
                <w:color w:val="auto"/>
                <w:sz w:val="20"/>
                <w:szCs w:val="28"/>
                <w:lang w:val="ro"/>
              </w:rPr>
              <w:t>Capital uman îmbunătățit și dezvoltare economică</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EC585C" w14:textId="77777777" w:rsidR="00FA6B10" w:rsidRPr="00096994" w:rsidRDefault="00FA6B10" w:rsidP="00FA6B10">
            <w:pPr>
              <w:pStyle w:val="TableText"/>
              <w:rPr>
                <w:color w:val="auto"/>
                <w:sz w:val="20"/>
                <w:szCs w:val="28"/>
              </w:rPr>
            </w:pPr>
            <w:r>
              <w:rPr>
                <w:color w:val="auto"/>
                <w:sz w:val="20"/>
                <w:szCs w:val="28"/>
                <w:lang w:val="ro"/>
              </w:rPr>
              <w:t>Creșterea PIB-ului, rata ocupării forței de muncă și scorurile PISA</w:t>
            </w:r>
          </w:p>
        </w:tc>
      </w:tr>
      <w:tr w:rsidR="00FA6B10" w:rsidRPr="00096994" w14:paraId="010BB183"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E026014" w14:textId="77777777" w:rsidR="00FA6B10" w:rsidRPr="00096994" w:rsidRDefault="00FA6B10" w:rsidP="00F31C10">
            <w:pPr>
              <w:rPr>
                <w:b/>
                <w:bCs/>
              </w:rPr>
            </w:pPr>
            <w:r>
              <w:rPr>
                <w:b/>
                <w:bCs/>
                <w:lang w:val="ro"/>
              </w:rPr>
              <w:t>Obiective generale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2CB402" w14:textId="77777777" w:rsidR="00FA6B10" w:rsidRPr="00096994" w:rsidRDefault="00FA6B10" w:rsidP="00FA6B10">
            <w:pPr>
              <w:pStyle w:val="TableText"/>
              <w:rPr>
                <w:color w:val="auto"/>
                <w:sz w:val="20"/>
                <w:szCs w:val="28"/>
              </w:rPr>
            </w:pPr>
            <w:r>
              <w:rPr>
                <w:color w:val="auto"/>
                <w:sz w:val="20"/>
                <w:szCs w:val="28"/>
                <w:lang w:val="ro"/>
              </w:rPr>
              <w:t>Îmbunătățirea calității, echității și relevanței pentru piața muncii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029B46" w14:textId="77777777" w:rsidR="00FA6B10" w:rsidRPr="00096994" w:rsidRDefault="00FA6B10" w:rsidP="00FA6B10">
            <w:pPr>
              <w:pStyle w:val="TableText"/>
              <w:rPr>
                <w:color w:val="auto"/>
                <w:sz w:val="20"/>
                <w:szCs w:val="28"/>
              </w:rPr>
            </w:pPr>
            <w:r>
              <w:rPr>
                <w:color w:val="auto"/>
                <w:sz w:val="20"/>
                <w:szCs w:val="28"/>
                <w:lang w:val="ro"/>
              </w:rPr>
              <w:t>Rata abandonului, rezultatele învățării</w:t>
            </w:r>
          </w:p>
        </w:tc>
      </w:tr>
      <w:tr w:rsidR="00FA6B10" w:rsidRPr="00096994" w14:paraId="71D2CD97"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A5A357" w14:textId="77777777" w:rsidR="00FA6B10" w:rsidRPr="00096994" w:rsidRDefault="00FA6B10" w:rsidP="00F31C10">
            <w:pPr>
              <w:rPr>
                <w:b/>
                <w:bCs/>
              </w:rPr>
            </w:pPr>
            <w:r>
              <w:rPr>
                <w:b/>
                <w:bCs/>
                <w:lang w:val="ro"/>
              </w:rPr>
              <w:t>Obiective specifice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7815A6" w14:textId="77777777" w:rsidR="00FA6B10" w:rsidRPr="00096994" w:rsidRDefault="00FA6B10" w:rsidP="00FA6B10">
            <w:pPr>
              <w:pStyle w:val="TableText"/>
              <w:rPr>
                <w:color w:val="auto"/>
                <w:sz w:val="20"/>
                <w:szCs w:val="28"/>
              </w:rPr>
            </w:pPr>
            <w:r>
              <w:rPr>
                <w:color w:val="auto"/>
                <w:sz w:val="20"/>
                <w:szCs w:val="28"/>
                <w:lang w:val="ro"/>
              </w:rPr>
              <w:t>Armonizarea, extinderea educației duale, îmbunătățirea guvernanței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E36CD4" w14:textId="77777777" w:rsidR="00FA6B10" w:rsidRPr="00096994" w:rsidRDefault="00FA6B10" w:rsidP="00FA6B10">
            <w:pPr>
              <w:pStyle w:val="TableText"/>
              <w:rPr>
                <w:color w:val="auto"/>
                <w:sz w:val="20"/>
                <w:szCs w:val="28"/>
              </w:rPr>
            </w:pPr>
            <w:r>
              <w:rPr>
                <w:color w:val="auto"/>
                <w:sz w:val="20"/>
                <w:szCs w:val="28"/>
                <w:lang w:val="ro"/>
              </w:rPr>
              <w:t>Procentul curriculumurilor aliniate, procentul de participare la educația duală</w:t>
            </w:r>
          </w:p>
        </w:tc>
      </w:tr>
      <w:tr w:rsidR="00FA6B10" w:rsidRPr="00096994" w14:paraId="0D789A13"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F260C1F" w14:textId="77777777" w:rsidR="00FA6B10" w:rsidRPr="00096994" w:rsidRDefault="00FA6B10" w:rsidP="00F31C10">
            <w:pPr>
              <w:rPr>
                <w:b/>
                <w:bCs/>
              </w:rPr>
            </w:pPr>
            <w:r>
              <w:rPr>
                <w:b/>
                <w:bCs/>
                <w:lang w:val="ro"/>
              </w:rPr>
              <w:t>Rezultate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ABDB40" w14:textId="77777777" w:rsidR="00FA6B10" w:rsidRPr="00096994" w:rsidRDefault="00FA6B10" w:rsidP="00FA6B10">
            <w:pPr>
              <w:pStyle w:val="TableText"/>
              <w:rPr>
                <w:color w:val="auto"/>
                <w:sz w:val="20"/>
                <w:szCs w:val="28"/>
              </w:rPr>
            </w:pPr>
            <w:r>
              <w:rPr>
                <w:color w:val="auto"/>
                <w:sz w:val="20"/>
                <w:szCs w:val="28"/>
                <w:lang w:val="ro"/>
              </w:rPr>
              <w:t>Convergența curriculumului, consolidarea legăturilor cu angajatorii, îmbunătățirea managementului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0705DC" w14:textId="77777777" w:rsidR="00FA6B10" w:rsidRPr="00096994" w:rsidRDefault="00FA6B10" w:rsidP="00FA6B10">
            <w:pPr>
              <w:pStyle w:val="TableText"/>
              <w:rPr>
                <w:color w:val="auto"/>
                <w:sz w:val="20"/>
                <w:szCs w:val="28"/>
              </w:rPr>
            </w:pPr>
            <w:r>
              <w:rPr>
                <w:color w:val="auto"/>
                <w:sz w:val="20"/>
                <w:szCs w:val="28"/>
                <w:lang w:val="ro"/>
              </w:rPr>
              <w:t>Rata participării angajatorilor, indicele de aliniere a sistemului</w:t>
            </w:r>
          </w:p>
        </w:tc>
      </w:tr>
      <w:tr w:rsidR="00FA6B10" w:rsidRPr="00096994" w14:paraId="2A4C0E18"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BB7383" w14:textId="77777777" w:rsidR="00FA6B10" w:rsidRPr="00096994" w:rsidRDefault="00FA6B10" w:rsidP="00F31C10">
            <w:pPr>
              <w:rPr>
                <w:b/>
                <w:bCs/>
              </w:rPr>
            </w:pPr>
            <w:r>
              <w:rPr>
                <w:b/>
                <w:bCs/>
                <w:lang w:val="ro"/>
              </w:rPr>
              <w:t>Produse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4B53AA" w14:textId="77777777" w:rsidR="00FA6B10" w:rsidRPr="00096994" w:rsidRDefault="00FA6B10" w:rsidP="00FA6B10">
            <w:pPr>
              <w:pStyle w:val="TableText"/>
              <w:rPr>
                <w:color w:val="auto"/>
                <w:sz w:val="20"/>
                <w:szCs w:val="28"/>
              </w:rPr>
            </w:pPr>
            <w:r>
              <w:rPr>
                <w:color w:val="auto"/>
                <w:sz w:val="20"/>
                <w:szCs w:val="28"/>
                <w:lang w:val="ro"/>
              </w:rPr>
              <w:t>Programe de formare, infrastructură, curriculumuri noi, programe de ÎPT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D569E4" w14:textId="77777777" w:rsidR="00FA6B10" w:rsidRPr="00096994" w:rsidRDefault="00FA6B10" w:rsidP="00FA6B10">
            <w:pPr>
              <w:pStyle w:val="TableText"/>
              <w:rPr>
                <w:color w:val="auto"/>
                <w:sz w:val="20"/>
                <w:szCs w:val="28"/>
              </w:rPr>
            </w:pPr>
            <w:r>
              <w:rPr>
                <w:color w:val="auto"/>
                <w:sz w:val="20"/>
                <w:szCs w:val="28"/>
                <w:lang w:val="ro"/>
              </w:rPr>
              <w:t>Număr de cadre didactice formate, număr de școli dotate</w:t>
            </w:r>
          </w:p>
        </w:tc>
      </w:tr>
      <w:tr w:rsidR="00FA6B10" w:rsidRPr="00096994" w14:paraId="58F08883"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2C58663" w14:textId="77777777" w:rsidR="00FA6B10" w:rsidRPr="00096994" w:rsidRDefault="00FA6B10" w:rsidP="00F31C10">
            <w:pPr>
              <w:rPr>
                <w:b/>
                <w:bCs/>
              </w:rPr>
            </w:pPr>
            <w:r>
              <w:rPr>
                <w:b/>
                <w:bCs/>
                <w:lang w:val="ro"/>
              </w:rPr>
              <w:t>Activități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EC14B5F" w14:textId="77777777" w:rsidR="00FA6B10" w:rsidRPr="00096994" w:rsidRDefault="00FA6B10" w:rsidP="00FA6B10">
            <w:pPr>
              <w:pStyle w:val="TableText"/>
              <w:rPr>
                <w:color w:val="auto"/>
                <w:sz w:val="20"/>
                <w:szCs w:val="28"/>
              </w:rPr>
            </w:pPr>
            <w:r>
              <w:rPr>
                <w:color w:val="auto"/>
                <w:sz w:val="20"/>
                <w:szCs w:val="28"/>
                <w:lang w:val="ro"/>
              </w:rPr>
              <w:t>Acțiuni de implementare a reformei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755952" w14:textId="77777777" w:rsidR="00FA6B10" w:rsidRPr="00096994" w:rsidRDefault="00FA6B10" w:rsidP="00FA6B10">
            <w:pPr>
              <w:pStyle w:val="TableText"/>
              <w:rPr>
                <w:color w:val="auto"/>
                <w:sz w:val="20"/>
                <w:szCs w:val="28"/>
              </w:rPr>
            </w:pPr>
            <w:r>
              <w:rPr>
                <w:color w:val="auto"/>
                <w:sz w:val="20"/>
                <w:szCs w:val="28"/>
                <w:lang w:val="ro"/>
              </w:rPr>
              <w:t>Etape parcurse</w:t>
            </w:r>
          </w:p>
        </w:tc>
      </w:tr>
    </w:tbl>
    <w:p w14:paraId="01D4C498" w14:textId="0D326D12" w:rsidR="000B2428" w:rsidRPr="00096994" w:rsidRDefault="000B2428" w:rsidP="000B2428">
      <w:pPr>
        <w:pStyle w:val="Heading3"/>
        <w:rPr>
          <w:color w:val="auto"/>
        </w:rPr>
      </w:pPr>
      <w:r>
        <w:rPr>
          <w:color w:val="auto"/>
          <w:lang w:val="ro"/>
        </w:rPr>
        <w:t>Distribuirea bugetului</w:t>
      </w:r>
    </w:p>
    <w:tbl>
      <w:tblPr>
        <w:tblW w:w="8873" w:type="dxa"/>
        <w:tblCellSpacing w:w="15" w:type="dxa"/>
        <w:tblCellMar>
          <w:top w:w="15" w:type="dxa"/>
          <w:left w:w="15" w:type="dxa"/>
          <w:bottom w:w="15" w:type="dxa"/>
          <w:right w:w="15" w:type="dxa"/>
        </w:tblCellMar>
        <w:tblLook w:val="04A0" w:firstRow="1" w:lastRow="0" w:firstColumn="1" w:lastColumn="0" w:noHBand="0" w:noVBand="1"/>
      </w:tblPr>
      <w:tblGrid>
        <w:gridCol w:w="4591"/>
        <w:gridCol w:w="1717"/>
        <w:gridCol w:w="2565"/>
      </w:tblGrid>
      <w:tr w:rsidR="00FA6B10" w:rsidRPr="00096994" w14:paraId="47F9C7B9" w14:textId="77777777" w:rsidTr="00F31C10">
        <w:trPr>
          <w:trHeight w:val="495"/>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709A861" w14:textId="77777777" w:rsidR="00FA6B10" w:rsidRPr="00096994" w:rsidRDefault="00FA6B10" w:rsidP="00FA6B10">
            <w:pPr>
              <w:pStyle w:val="TableFirstColumn"/>
              <w:rPr>
                <w:b/>
                <w:bCs w:val="0"/>
                <w:color w:val="auto"/>
                <w:sz w:val="22"/>
                <w:szCs w:val="32"/>
              </w:rPr>
            </w:pPr>
            <w:r>
              <w:rPr>
                <w:b/>
                <w:color w:val="auto"/>
                <w:sz w:val="22"/>
                <w:szCs w:val="32"/>
                <w:lang w:val="ro"/>
              </w:rPr>
              <w:t>Domeniu</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8D550D" w14:textId="77777777" w:rsidR="00FA6B10" w:rsidRPr="00096994" w:rsidRDefault="00FA6B10" w:rsidP="00FA6B10">
            <w:pPr>
              <w:pStyle w:val="TableFirstColumn"/>
              <w:rPr>
                <w:b/>
                <w:bCs w:val="0"/>
                <w:color w:val="auto"/>
                <w:sz w:val="22"/>
                <w:szCs w:val="32"/>
              </w:rPr>
            </w:pPr>
            <w:r>
              <w:rPr>
                <w:b/>
                <w:color w:val="auto"/>
                <w:sz w:val="22"/>
                <w:szCs w:val="32"/>
                <w:lang w:val="ro"/>
              </w:rPr>
              <w:t>Planificat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10495F6" w14:textId="77777777" w:rsidR="00FA6B10" w:rsidRPr="00096994" w:rsidRDefault="00FA6B10" w:rsidP="00FA6B10">
            <w:pPr>
              <w:pStyle w:val="TableFirstColumn"/>
              <w:rPr>
                <w:b/>
                <w:bCs w:val="0"/>
                <w:color w:val="auto"/>
                <w:sz w:val="22"/>
                <w:szCs w:val="32"/>
              </w:rPr>
            </w:pPr>
            <w:r>
              <w:rPr>
                <w:b/>
                <w:color w:val="auto"/>
                <w:sz w:val="22"/>
                <w:szCs w:val="32"/>
                <w:lang w:val="ro"/>
              </w:rPr>
              <w:t>Tendința reală</w:t>
            </w:r>
          </w:p>
        </w:tc>
      </w:tr>
      <w:tr w:rsidR="00FA6B10" w:rsidRPr="00096994" w14:paraId="50320FCA" w14:textId="77777777" w:rsidTr="00F31C10">
        <w:trPr>
          <w:trHeight w:val="495"/>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6FD760" w14:textId="77777777" w:rsidR="00FA6B10" w:rsidRPr="00096994" w:rsidRDefault="00FA6B10" w:rsidP="00FA6B10">
            <w:pPr>
              <w:pStyle w:val="TableText"/>
              <w:rPr>
                <w:color w:val="auto"/>
                <w:sz w:val="22"/>
                <w:szCs w:val="32"/>
              </w:rPr>
            </w:pPr>
            <w:r>
              <w:rPr>
                <w:color w:val="auto"/>
                <w:sz w:val="22"/>
                <w:szCs w:val="32"/>
                <w:lang w:val="ro"/>
              </w:rPr>
              <w:t>Infrastructură</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A66F8A" w14:textId="77777777" w:rsidR="00FA6B10" w:rsidRPr="00096994" w:rsidRDefault="00FA6B10" w:rsidP="00FA6B10">
            <w:pPr>
              <w:pStyle w:val="TableText"/>
              <w:rPr>
                <w:color w:val="auto"/>
                <w:sz w:val="22"/>
                <w:szCs w:val="32"/>
              </w:rPr>
            </w:pPr>
            <w:r>
              <w:rPr>
                <w:color w:val="auto"/>
                <w:sz w:val="22"/>
                <w:szCs w:val="32"/>
                <w:lang w:val="ro"/>
              </w:rPr>
              <w:t>30%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11F007" w14:textId="77777777" w:rsidR="00FA6B10" w:rsidRPr="00096994" w:rsidRDefault="00FA6B10" w:rsidP="00FA6B10">
            <w:pPr>
              <w:pStyle w:val="TableText"/>
              <w:rPr>
                <w:color w:val="auto"/>
                <w:sz w:val="22"/>
                <w:szCs w:val="32"/>
              </w:rPr>
            </w:pPr>
            <w:r>
              <w:rPr>
                <w:color w:val="auto"/>
                <w:sz w:val="22"/>
                <w:szCs w:val="32"/>
                <w:lang w:val="ro"/>
              </w:rPr>
              <w:t>~40%</w:t>
            </w:r>
          </w:p>
        </w:tc>
      </w:tr>
      <w:tr w:rsidR="00FA6B10" w:rsidRPr="00096994" w14:paraId="262FFA3C" w14:textId="77777777" w:rsidTr="00F31C10">
        <w:trPr>
          <w:trHeight w:val="495"/>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B948AA8" w14:textId="77777777" w:rsidR="00FA6B10" w:rsidRPr="00096994" w:rsidRDefault="00FA6B10" w:rsidP="00FA6B10">
            <w:pPr>
              <w:pStyle w:val="TableText"/>
              <w:rPr>
                <w:color w:val="auto"/>
                <w:sz w:val="22"/>
                <w:szCs w:val="32"/>
              </w:rPr>
            </w:pPr>
            <w:r>
              <w:rPr>
                <w:color w:val="auto"/>
                <w:sz w:val="22"/>
                <w:szCs w:val="32"/>
                <w:lang w:val="ro"/>
              </w:rPr>
              <w:t>Formarea cadrelor didactice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981370" w14:textId="77777777" w:rsidR="00FA6B10" w:rsidRPr="00096994" w:rsidRDefault="00FA6B10" w:rsidP="00FA6B10">
            <w:pPr>
              <w:pStyle w:val="TableText"/>
              <w:rPr>
                <w:color w:val="auto"/>
                <w:sz w:val="22"/>
                <w:szCs w:val="32"/>
              </w:rPr>
            </w:pPr>
            <w:r>
              <w:rPr>
                <w:color w:val="auto"/>
                <w:sz w:val="22"/>
                <w:szCs w:val="32"/>
                <w:lang w:val="ro"/>
              </w:rPr>
              <w:t>20%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12EA9AB" w14:textId="77777777" w:rsidR="00FA6B10" w:rsidRPr="00096994" w:rsidRDefault="00FA6B10" w:rsidP="00FA6B10">
            <w:pPr>
              <w:pStyle w:val="TableText"/>
              <w:rPr>
                <w:color w:val="auto"/>
                <w:sz w:val="22"/>
                <w:szCs w:val="32"/>
              </w:rPr>
            </w:pPr>
            <w:r>
              <w:rPr>
                <w:color w:val="auto"/>
                <w:sz w:val="22"/>
                <w:szCs w:val="32"/>
                <w:lang w:val="ro"/>
              </w:rPr>
              <w:t>~10%</w:t>
            </w:r>
          </w:p>
        </w:tc>
      </w:tr>
      <w:tr w:rsidR="00FA6B10" w:rsidRPr="00096994" w14:paraId="69DCDA0C" w14:textId="77777777" w:rsidTr="00F31C10">
        <w:trPr>
          <w:trHeight w:val="495"/>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99FA60B" w14:textId="77777777" w:rsidR="00FA6B10" w:rsidRPr="00096994" w:rsidRDefault="00FA6B10" w:rsidP="00FA6B10">
            <w:pPr>
              <w:pStyle w:val="TableText"/>
              <w:rPr>
                <w:color w:val="auto"/>
                <w:sz w:val="22"/>
                <w:szCs w:val="32"/>
              </w:rPr>
            </w:pPr>
            <w:r>
              <w:rPr>
                <w:color w:val="auto"/>
                <w:sz w:val="22"/>
                <w:szCs w:val="32"/>
                <w:lang w:val="ro"/>
              </w:rPr>
              <w:t>Educație duală</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B1AA19" w14:textId="77777777" w:rsidR="00FA6B10" w:rsidRPr="00096994" w:rsidRDefault="00FA6B10" w:rsidP="00FA6B10">
            <w:pPr>
              <w:pStyle w:val="TableText"/>
              <w:rPr>
                <w:color w:val="auto"/>
                <w:sz w:val="22"/>
                <w:szCs w:val="32"/>
              </w:rPr>
            </w:pPr>
            <w:r>
              <w:rPr>
                <w:color w:val="auto"/>
                <w:sz w:val="22"/>
                <w:szCs w:val="32"/>
                <w:lang w:val="ro"/>
              </w:rPr>
              <w:t>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D73A1A" w14:textId="77777777" w:rsidR="00FA6B10" w:rsidRPr="00096994" w:rsidRDefault="00FA6B10" w:rsidP="00FA6B10">
            <w:pPr>
              <w:pStyle w:val="TableText"/>
              <w:rPr>
                <w:color w:val="auto"/>
                <w:sz w:val="22"/>
                <w:szCs w:val="32"/>
              </w:rPr>
            </w:pPr>
            <w:r>
              <w:rPr>
                <w:color w:val="auto"/>
                <w:sz w:val="22"/>
                <w:szCs w:val="32"/>
                <w:lang w:val="ro"/>
              </w:rPr>
              <w:t>~15%</w:t>
            </w:r>
          </w:p>
        </w:tc>
      </w:tr>
      <w:tr w:rsidR="00FA6B10" w:rsidRPr="00096994" w14:paraId="12F1F88C" w14:textId="77777777" w:rsidTr="00F31C10">
        <w:trPr>
          <w:trHeight w:val="495"/>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8A6000F" w14:textId="77777777" w:rsidR="00FA6B10" w:rsidRPr="00096994" w:rsidRDefault="00FA6B10" w:rsidP="00FA6B10">
            <w:pPr>
              <w:pStyle w:val="TableText"/>
              <w:rPr>
                <w:color w:val="auto"/>
                <w:sz w:val="22"/>
                <w:szCs w:val="32"/>
              </w:rPr>
            </w:pPr>
            <w:r>
              <w:rPr>
                <w:color w:val="auto"/>
                <w:sz w:val="22"/>
                <w:szCs w:val="32"/>
                <w:lang w:val="ro"/>
              </w:rPr>
              <w:t>Reforma guvernării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5D2965" w14:textId="77777777" w:rsidR="00FA6B10" w:rsidRPr="00096994" w:rsidRDefault="00FA6B10" w:rsidP="00FA6B10">
            <w:pPr>
              <w:pStyle w:val="TableText"/>
              <w:rPr>
                <w:color w:val="auto"/>
                <w:sz w:val="22"/>
                <w:szCs w:val="32"/>
              </w:rPr>
            </w:pPr>
            <w:r>
              <w:rPr>
                <w:color w:val="auto"/>
                <w:sz w:val="22"/>
                <w:szCs w:val="32"/>
                <w:lang w:val="ro"/>
              </w:rPr>
              <w:t>15%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0A01C0" w14:textId="77777777" w:rsidR="00FA6B10" w:rsidRPr="00096994" w:rsidRDefault="00FA6B10" w:rsidP="00FA6B10">
            <w:pPr>
              <w:pStyle w:val="TableText"/>
              <w:rPr>
                <w:color w:val="auto"/>
                <w:sz w:val="22"/>
                <w:szCs w:val="32"/>
              </w:rPr>
            </w:pPr>
            <w:r>
              <w:rPr>
                <w:color w:val="auto"/>
                <w:sz w:val="22"/>
                <w:szCs w:val="32"/>
                <w:lang w:val="ro"/>
              </w:rPr>
              <w:t>~5%</w:t>
            </w:r>
          </w:p>
        </w:tc>
      </w:tr>
      <w:tr w:rsidR="00FA6B10" w:rsidRPr="00096994" w14:paraId="14F6D90E" w14:textId="77777777" w:rsidTr="00F31C10">
        <w:trPr>
          <w:trHeight w:val="505"/>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7D8C582" w14:textId="77777777" w:rsidR="00FA6B10" w:rsidRPr="00096994" w:rsidRDefault="00FA6B10" w:rsidP="00FA6B10">
            <w:pPr>
              <w:pStyle w:val="TableText"/>
              <w:rPr>
                <w:color w:val="auto"/>
                <w:sz w:val="22"/>
                <w:szCs w:val="32"/>
              </w:rPr>
            </w:pPr>
            <w:r>
              <w:rPr>
                <w:color w:val="auto"/>
                <w:sz w:val="22"/>
                <w:szCs w:val="32"/>
                <w:lang w:val="ro"/>
              </w:rPr>
              <w:t>Monitorizare și evaluare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1E0457" w14:textId="77777777" w:rsidR="00FA6B10" w:rsidRPr="00096994" w:rsidRDefault="00FA6B10" w:rsidP="00FA6B10">
            <w:pPr>
              <w:pStyle w:val="TableText"/>
              <w:rPr>
                <w:color w:val="auto"/>
                <w:sz w:val="22"/>
                <w:szCs w:val="32"/>
              </w:rPr>
            </w:pPr>
            <w:r>
              <w:rPr>
                <w:color w:val="auto"/>
                <w:sz w:val="22"/>
                <w:szCs w:val="32"/>
                <w:lang w:val="ro"/>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993799" w14:textId="77777777" w:rsidR="00FA6B10" w:rsidRPr="00096994" w:rsidRDefault="00FA6B10" w:rsidP="00FA6B10">
            <w:pPr>
              <w:pStyle w:val="TableText"/>
              <w:rPr>
                <w:color w:val="auto"/>
                <w:sz w:val="22"/>
                <w:szCs w:val="32"/>
              </w:rPr>
            </w:pPr>
            <w:r>
              <w:rPr>
                <w:color w:val="auto"/>
                <w:sz w:val="22"/>
                <w:szCs w:val="32"/>
                <w:lang w:val="ro"/>
              </w:rPr>
              <w:t>&lt;5%</w:t>
            </w:r>
          </w:p>
        </w:tc>
      </w:tr>
    </w:tbl>
    <w:p w14:paraId="7159E980" w14:textId="0D3F9BF0" w:rsidR="000B2428" w:rsidRPr="00096994" w:rsidRDefault="00FA6B10" w:rsidP="000B2428">
      <w:pPr>
        <w:pStyle w:val="Heading3"/>
        <w:rPr>
          <w:color w:val="auto"/>
        </w:rPr>
      </w:pPr>
      <w:r>
        <w:rPr>
          <w:color w:val="auto"/>
          <w:lang w:val="ro"/>
        </w:rPr>
        <w:t>SINTEZA DIAGNOSTICULUI SANOVIEI</w:t>
      </w:r>
    </w:p>
    <w:tbl>
      <w:tblPr>
        <w:tblW w:w="8787" w:type="dxa"/>
        <w:tblCellSpacing w:w="15" w:type="dxa"/>
        <w:tblCellMar>
          <w:top w:w="15" w:type="dxa"/>
          <w:left w:w="15" w:type="dxa"/>
          <w:bottom w:w="15" w:type="dxa"/>
          <w:right w:w="15" w:type="dxa"/>
        </w:tblCellMar>
        <w:tblLook w:val="04A0" w:firstRow="1" w:lastRow="0" w:firstColumn="1" w:lastColumn="0" w:noHBand="0" w:noVBand="1"/>
      </w:tblPr>
      <w:tblGrid>
        <w:gridCol w:w="2756"/>
        <w:gridCol w:w="6031"/>
      </w:tblGrid>
      <w:tr w:rsidR="00FA6B10" w:rsidRPr="00096994" w14:paraId="540C62A9"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08DD07C" w14:textId="77777777" w:rsidR="00FA6B10" w:rsidRPr="00096994" w:rsidRDefault="00FA6B10" w:rsidP="00FA6B10">
            <w:pPr>
              <w:pStyle w:val="TableFirstColumn"/>
              <w:rPr>
                <w:b/>
                <w:bCs w:val="0"/>
                <w:color w:val="auto"/>
                <w:sz w:val="22"/>
                <w:szCs w:val="32"/>
              </w:rPr>
            </w:pPr>
            <w:r>
              <w:rPr>
                <w:b/>
                <w:color w:val="auto"/>
                <w:sz w:val="22"/>
                <w:szCs w:val="32"/>
                <w:lang w:val="ro"/>
              </w:rPr>
              <w:t>Dimensiunea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840DA6" w14:textId="77777777" w:rsidR="00FA6B10" w:rsidRPr="00096994" w:rsidRDefault="00FA6B10" w:rsidP="00FA6B10">
            <w:pPr>
              <w:pStyle w:val="TableFirstColumn"/>
              <w:rPr>
                <w:b/>
                <w:bCs w:val="0"/>
                <w:color w:val="auto"/>
                <w:sz w:val="22"/>
                <w:szCs w:val="32"/>
              </w:rPr>
            </w:pPr>
            <w:r>
              <w:rPr>
                <w:b/>
                <w:color w:val="auto"/>
                <w:sz w:val="22"/>
                <w:szCs w:val="32"/>
                <w:lang w:val="ro"/>
              </w:rPr>
              <w:t>Realitățile din Sanovia</w:t>
            </w:r>
          </w:p>
        </w:tc>
      </w:tr>
      <w:tr w:rsidR="00FA6B10" w:rsidRPr="00096994" w14:paraId="024A76CB"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A31C090" w14:textId="77777777" w:rsidR="00FA6B10" w:rsidRPr="00096994" w:rsidRDefault="00FA6B10" w:rsidP="00FA6B10">
            <w:pPr>
              <w:pStyle w:val="TableText"/>
              <w:rPr>
                <w:color w:val="auto"/>
                <w:sz w:val="22"/>
              </w:rPr>
            </w:pPr>
            <w:r>
              <w:rPr>
                <w:color w:val="auto"/>
                <w:sz w:val="22"/>
                <w:lang w:val="ro"/>
              </w:rPr>
              <w:t>Guvernarea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B545FA" w14:textId="77777777" w:rsidR="00FA6B10" w:rsidRPr="00096994" w:rsidRDefault="00FA6B10" w:rsidP="00FA6B10">
            <w:pPr>
              <w:pStyle w:val="TableText"/>
              <w:rPr>
                <w:color w:val="auto"/>
                <w:sz w:val="22"/>
              </w:rPr>
            </w:pPr>
            <w:r>
              <w:rPr>
                <w:color w:val="auto"/>
                <w:sz w:val="22"/>
                <w:lang w:val="ro"/>
              </w:rPr>
              <w:t>Fragmentare la nivelul a 15 ministere</w:t>
            </w:r>
          </w:p>
        </w:tc>
      </w:tr>
      <w:tr w:rsidR="00FA6B10" w:rsidRPr="00096994" w14:paraId="0A489C16"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DBBFD98" w14:textId="77777777" w:rsidR="00FA6B10" w:rsidRPr="00096994" w:rsidRDefault="00FA6B10" w:rsidP="00FA6B10">
            <w:pPr>
              <w:pStyle w:val="TableText"/>
              <w:rPr>
                <w:color w:val="auto"/>
                <w:sz w:val="22"/>
              </w:rPr>
            </w:pPr>
            <w:r>
              <w:rPr>
                <w:color w:val="auto"/>
                <w:sz w:val="22"/>
                <w:lang w:val="ro"/>
              </w:rPr>
              <w:lastRenderedPageBreak/>
              <w:t>Conceperea strategiei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FCA4BC" w14:textId="77777777" w:rsidR="00FA6B10" w:rsidRPr="00096994" w:rsidRDefault="00FA6B10" w:rsidP="00FA6B10">
            <w:pPr>
              <w:pStyle w:val="TableText"/>
              <w:rPr>
                <w:color w:val="auto"/>
                <w:sz w:val="22"/>
              </w:rPr>
            </w:pPr>
            <w:r>
              <w:rPr>
                <w:color w:val="auto"/>
                <w:sz w:val="22"/>
                <w:lang w:val="ro"/>
              </w:rPr>
              <w:t>Sprijinită de donatori și determinată politic</w:t>
            </w:r>
          </w:p>
        </w:tc>
      </w:tr>
      <w:tr w:rsidR="00FA6B10" w:rsidRPr="00096994" w14:paraId="469CBB8E"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E98BF07" w14:textId="77777777" w:rsidR="00FA6B10" w:rsidRPr="00096994" w:rsidRDefault="00FA6B10" w:rsidP="00FA6B10">
            <w:pPr>
              <w:pStyle w:val="TableText"/>
              <w:rPr>
                <w:color w:val="auto"/>
                <w:sz w:val="22"/>
              </w:rPr>
            </w:pPr>
            <w:r>
              <w:rPr>
                <w:color w:val="auto"/>
                <w:sz w:val="22"/>
                <w:lang w:val="ro"/>
              </w:rPr>
              <w:t>Estimarea costurilor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E52A82" w14:textId="77777777" w:rsidR="00FA6B10" w:rsidRPr="00096994" w:rsidRDefault="00FA6B10" w:rsidP="00FA6B10">
            <w:pPr>
              <w:pStyle w:val="TableText"/>
              <w:rPr>
                <w:color w:val="auto"/>
                <w:sz w:val="22"/>
              </w:rPr>
            </w:pPr>
            <w:r>
              <w:rPr>
                <w:color w:val="auto"/>
                <w:sz w:val="22"/>
                <w:lang w:val="ro"/>
              </w:rPr>
              <w:t>Corelare parțială și slabă</w:t>
            </w:r>
          </w:p>
        </w:tc>
      </w:tr>
      <w:tr w:rsidR="00FA6B10" w:rsidRPr="00096994" w14:paraId="227109AE"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D419DF" w14:textId="77777777" w:rsidR="00FA6B10" w:rsidRPr="00096994" w:rsidRDefault="00FA6B10" w:rsidP="00FA6B10">
            <w:pPr>
              <w:pStyle w:val="TableText"/>
              <w:rPr>
                <w:color w:val="auto"/>
                <w:sz w:val="22"/>
              </w:rPr>
            </w:pPr>
            <w:r>
              <w:rPr>
                <w:color w:val="auto"/>
                <w:sz w:val="22"/>
                <w:lang w:val="ro"/>
              </w:rPr>
              <w:t>Structura instituțională</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F126FA" w14:textId="77777777" w:rsidR="00FA6B10" w:rsidRPr="00096994" w:rsidRDefault="00FA6B10" w:rsidP="00FA6B10">
            <w:pPr>
              <w:pStyle w:val="TableText"/>
              <w:rPr>
                <w:color w:val="auto"/>
                <w:sz w:val="22"/>
              </w:rPr>
            </w:pPr>
            <w:r>
              <w:rPr>
                <w:color w:val="auto"/>
                <w:sz w:val="22"/>
                <w:lang w:val="ro"/>
              </w:rPr>
              <w:t>Responsabilități distribuite</w:t>
            </w:r>
          </w:p>
        </w:tc>
      </w:tr>
      <w:tr w:rsidR="00FA6B10" w:rsidRPr="00096994" w14:paraId="782A2420"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58D2F47" w14:textId="77777777" w:rsidR="00FA6B10" w:rsidRPr="00096994" w:rsidRDefault="00FA6B10" w:rsidP="00FA6B10">
            <w:pPr>
              <w:pStyle w:val="TableText"/>
              <w:rPr>
                <w:color w:val="auto"/>
                <w:sz w:val="22"/>
              </w:rPr>
            </w:pPr>
            <w:r>
              <w:rPr>
                <w:color w:val="auto"/>
                <w:sz w:val="22"/>
                <w:lang w:val="ro"/>
              </w:rPr>
              <w:t>Buget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5B932D" w14:textId="77777777" w:rsidR="00FA6B10" w:rsidRPr="00096994" w:rsidRDefault="00FA6B10" w:rsidP="00FA6B10">
            <w:pPr>
              <w:pStyle w:val="TableText"/>
              <w:rPr>
                <w:color w:val="auto"/>
                <w:sz w:val="22"/>
              </w:rPr>
            </w:pPr>
            <w:r>
              <w:rPr>
                <w:color w:val="auto"/>
                <w:sz w:val="22"/>
                <w:lang w:val="ro"/>
              </w:rPr>
              <w:t>4 miliarde de euro din orice sursă permisă de lege</w:t>
            </w:r>
          </w:p>
        </w:tc>
      </w:tr>
      <w:tr w:rsidR="00FA6B10" w:rsidRPr="00096994" w14:paraId="6CE60B5F" w14:textId="77777777" w:rsidTr="00F31C10">
        <w:trPr>
          <w:trHeight w:val="45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3B8C65B" w14:textId="77777777" w:rsidR="00FA6B10" w:rsidRPr="00096994" w:rsidRDefault="00FA6B10" w:rsidP="00FA6B10">
            <w:pPr>
              <w:pStyle w:val="TableText"/>
              <w:rPr>
                <w:color w:val="auto"/>
                <w:sz w:val="22"/>
              </w:rPr>
            </w:pPr>
            <w:r>
              <w:rPr>
                <w:color w:val="auto"/>
                <w:sz w:val="22"/>
                <w:lang w:val="ro"/>
              </w:rPr>
              <w:t>Implementare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9E45BB" w14:textId="77777777" w:rsidR="00FA6B10" w:rsidRPr="00096994" w:rsidRDefault="00FA6B10" w:rsidP="00FA6B10">
            <w:pPr>
              <w:pStyle w:val="TableText"/>
              <w:rPr>
                <w:color w:val="auto"/>
                <w:sz w:val="22"/>
              </w:rPr>
            </w:pPr>
            <w:r>
              <w:rPr>
                <w:color w:val="auto"/>
                <w:sz w:val="22"/>
                <w:lang w:val="ro"/>
              </w:rPr>
              <w:t>Neuniformă între regiuni</w:t>
            </w:r>
          </w:p>
        </w:tc>
      </w:tr>
    </w:tbl>
    <w:p w14:paraId="069F4750" w14:textId="77777777" w:rsidR="00FA6B10" w:rsidRPr="00096994" w:rsidRDefault="00FA6B10" w:rsidP="00FA6B10">
      <w:pPr>
        <w:pStyle w:val="BodyText"/>
        <w:rPr>
          <w:color w:val="auto"/>
        </w:rPr>
      </w:pPr>
    </w:p>
    <w:p w14:paraId="46BF9FF4" w14:textId="77777777" w:rsidR="000B2428" w:rsidRPr="00096994" w:rsidRDefault="000B2428" w:rsidP="000B2428">
      <w:pPr>
        <w:pStyle w:val="Heading2"/>
        <w:rPr>
          <w:color w:val="auto"/>
        </w:rPr>
      </w:pPr>
      <w:r>
        <w:rPr>
          <w:color w:val="auto"/>
          <w:lang w:val="ro"/>
        </w:rPr>
        <w:t>ÎNTREBĂRI PENTRU LUCRUL ÎN GRUP </w:t>
      </w:r>
    </w:p>
    <w:p w14:paraId="40682D08" w14:textId="77777777" w:rsidR="000B2428" w:rsidRPr="00096994" w:rsidRDefault="000B2428" w:rsidP="000B2428">
      <w:pPr>
        <w:pStyle w:val="BodyText"/>
        <w:rPr>
          <w:color w:val="auto"/>
        </w:rPr>
      </w:pPr>
      <w:r>
        <w:rPr>
          <w:b/>
          <w:bCs/>
          <w:color w:val="auto"/>
          <w:lang w:val="ro"/>
        </w:rPr>
        <w:t>Diagnosticare</w:t>
      </w:r>
      <w:r>
        <w:rPr>
          <w:color w:val="auto"/>
          <w:lang w:val="ro"/>
        </w:rPr>
        <w:t> </w:t>
      </w:r>
    </w:p>
    <w:p w14:paraId="77945A21" w14:textId="77777777" w:rsidR="000B2428" w:rsidRPr="00096994" w:rsidRDefault="000B2428" w:rsidP="000B2428">
      <w:pPr>
        <w:pStyle w:val="BodyText"/>
        <w:numPr>
          <w:ilvl w:val="0"/>
          <w:numId w:val="20"/>
        </w:numPr>
        <w:rPr>
          <w:color w:val="auto"/>
        </w:rPr>
      </w:pPr>
      <w:r>
        <w:rPr>
          <w:color w:val="auto"/>
          <w:lang w:val="ro"/>
        </w:rPr>
        <w:t>Ce tipare observați în sistem? </w:t>
      </w:r>
    </w:p>
    <w:p w14:paraId="1152961B" w14:textId="77777777" w:rsidR="000B2428" w:rsidRPr="00096994" w:rsidRDefault="000B2428" w:rsidP="000B2428">
      <w:pPr>
        <w:pStyle w:val="BodyText"/>
        <w:numPr>
          <w:ilvl w:val="0"/>
          <w:numId w:val="21"/>
        </w:numPr>
        <w:rPr>
          <w:color w:val="auto"/>
        </w:rPr>
      </w:pPr>
      <w:r>
        <w:rPr>
          <w:color w:val="auto"/>
          <w:lang w:val="ro"/>
        </w:rPr>
        <w:t>Unde apar cele mai semnificative diferențe între regiuni? </w:t>
      </w:r>
    </w:p>
    <w:p w14:paraId="285555DD" w14:textId="77777777" w:rsidR="000B2428" w:rsidRPr="00096994" w:rsidRDefault="000B2428" w:rsidP="000B2428">
      <w:pPr>
        <w:pStyle w:val="BodyText"/>
        <w:numPr>
          <w:ilvl w:val="0"/>
          <w:numId w:val="22"/>
        </w:numPr>
        <w:rPr>
          <w:color w:val="auto"/>
        </w:rPr>
      </w:pPr>
      <w:r>
        <w:rPr>
          <w:color w:val="auto"/>
          <w:lang w:val="ro"/>
        </w:rPr>
        <w:t>Cum sunt transpuse prioritățile în acțiune? </w:t>
      </w:r>
    </w:p>
    <w:p w14:paraId="6CCBC0C5" w14:textId="77777777" w:rsidR="000B2428" w:rsidRPr="00096994" w:rsidRDefault="000B2428" w:rsidP="000B2428">
      <w:pPr>
        <w:pStyle w:val="BodyText"/>
        <w:rPr>
          <w:color w:val="auto"/>
        </w:rPr>
      </w:pPr>
      <w:r>
        <w:rPr>
          <w:b/>
          <w:bCs/>
          <w:color w:val="auto"/>
          <w:lang w:val="ro"/>
        </w:rPr>
        <w:t> Interpretare</w:t>
      </w:r>
      <w:r>
        <w:rPr>
          <w:color w:val="auto"/>
          <w:lang w:val="ro"/>
        </w:rPr>
        <w:t> </w:t>
      </w:r>
    </w:p>
    <w:p w14:paraId="5FAF3C53" w14:textId="77777777" w:rsidR="000B2428" w:rsidRPr="00096994" w:rsidRDefault="000B2428" w:rsidP="000B2428">
      <w:pPr>
        <w:pStyle w:val="BodyText"/>
        <w:numPr>
          <w:ilvl w:val="0"/>
          <w:numId w:val="23"/>
        </w:numPr>
        <w:rPr>
          <w:color w:val="auto"/>
        </w:rPr>
      </w:pPr>
      <w:r>
        <w:rPr>
          <w:color w:val="auto"/>
          <w:lang w:val="ro"/>
        </w:rPr>
        <w:t>Cum influențează mecanismele de guvernanță implementarea? </w:t>
      </w:r>
    </w:p>
    <w:p w14:paraId="60AA389B" w14:textId="77777777" w:rsidR="000B2428" w:rsidRPr="00096994" w:rsidRDefault="000B2428" w:rsidP="000B2428">
      <w:pPr>
        <w:pStyle w:val="BodyText"/>
        <w:numPr>
          <w:ilvl w:val="0"/>
          <w:numId w:val="24"/>
        </w:numPr>
        <w:rPr>
          <w:color w:val="auto"/>
        </w:rPr>
      </w:pPr>
      <w:r>
        <w:rPr>
          <w:color w:val="auto"/>
          <w:lang w:val="ro"/>
        </w:rPr>
        <w:t>Cum modelează resursele financiare rezultatele reformei? </w:t>
      </w:r>
    </w:p>
    <w:p w14:paraId="7D4A8731" w14:textId="77777777" w:rsidR="000B2428" w:rsidRPr="00096994" w:rsidRDefault="000B2428" w:rsidP="000B2428">
      <w:pPr>
        <w:pStyle w:val="BodyText"/>
        <w:numPr>
          <w:ilvl w:val="0"/>
          <w:numId w:val="25"/>
        </w:numPr>
        <w:rPr>
          <w:color w:val="auto"/>
        </w:rPr>
      </w:pPr>
      <w:r>
        <w:rPr>
          <w:color w:val="auto"/>
          <w:lang w:val="ro"/>
        </w:rPr>
        <w:t>În ce puncte s-ar putea slăbi lanțul de implementare? </w:t>
      </w:r>
    </w:p>
    <w:p w14:paraId="2F3170CB" w14:textId="77777777" w:rsidR="000B2428" w:rsidRPr="00096994" w:rsidRDefault="000B2428" w:rsidP="000B2428">
      <w:pPr>
        <w:pStyle w:val="BodyText"/>
        <w:numPr>
          <w:ilvl w:val="0"/>
          <w:numId w:val="26"/>
        </w:numPr>
        <w:rPr>
          <w:color w:val="auto"/>
        </w:rPr>
      </w:pPr>
      <w:r>
        <w:rPr>
          <w:color w:val="auto"/>
          <w:lang w:val="ro"/>
        </w:rPr>
        <w:t>Care elemente ale strategiei par cel mai puțin fezabile? </w:t>
      </w:r>
    </w:p>
    <w:p w14:paraId="306953F2" w14:textId="4C63B6BA" w:rsidR="000B2428" w:rsidRPr="00096994" w:rsidRDefault="000B2428" w:rsidP="000B2428">
      <w:pPr>
        <w:pStyle w:val="BodyText"/>
        <w:numPr>
          <w:ilvl w:val="0"/>
          <w:numId w:val="27"/>
        </w:numPr>
        <w:rPr>
          <w:b/>
          <w:bCs/>
          <w:color w:val="auto"/>
        </w:rPr>
      </w:pPr>
      <w:r>
        <w:rPr>
          <w:b/>
          <w:bCs/>
          <w:color w:val="auto"/>
          <w:lang w:val="ro"/>
        </w:rPr>
        <w:t>Cu ce provocări se va confrunta Sanovia în următoarea fază a implementării? </w:t>
      </w:r>
    </w:p>
    <w:sectPr w:rsidR="000B2428" w:rsidRPr="00096994" w:rsidSect="00240839">
      <w:footerReference w:type="default" r:id="rId12"/>
      <w:headerReference w:type="first" r:id="rId13"/>
      <w:footerReference w:type="first" r:id="rId14"/>
      <w:pgSz w:w="11906" w:h="16838" w:code="9"/>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4428A" w14:textId="77777777" w:rsidR="00125E9E" w:rsidRDefault="00125E9E" w:rsidP="00870E0B">
      <w:pPr>
        <w:spacing w:after="0" w:line="240" w:lineRule="auto"/>
      </w:pPr>
      <w:r>
        <w:separator/>
      </w:r>
    </w:p>
  </w:endnote>
  <w:endnote w:type="continuationSeparator" w:id="0">
    <w:p w14:paraId="707BEE93" w14:textId="77777777" w:rsidR="00125E9E" w:rsidRDefault="00125E9E" w:rsidP="0087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08D5A" w14:textId="77777777" w:rsidR="00030FBC" w:rsidRDefault="00030FBC" w:rsidP="00030FBC">
    <w:pPr>
      <w:pStyle w:val="Footer"/>
    </w:pPr>
  </w:p>
  <w:p w14:paraId="250BAB09" w14:textId="77777777" w:rsidR="00030FBC" w:rsidRDefault="00030FBC" w:rsidP="00030FBC">
    <w:pPr>
      <w:pStyle w:val="Footer"/>
    </w:pPr>
  </w:p>
  <w:p w14:paraId="4BAD3CFA" w14:textId="77777777" w:rsidR="00030FBC" w:rsidRPr="00636F0B" w:rsidRDefault="000A1F43" w:rsidP="00030FBC">
    <w:pPr>
      <w:pStyle w:val="Footerwithline"/>
    </w:pPr>
    <w:r>
      <w:rPr>
        <w:b w:val="0"/>
        <w:noProof/>
        <w:lang w:val="en-US"/>
      </w:rPr>
      <w:drawing>
        <wp:anchor distT="0" distB="0" distL="114300" distR="114300" simplePos="0" relativeHeight="251662336" behindDoc="0" locked="1" layoutInCell="1" allowOverlap="1" wp14:anchorId="23B3C335" wp14:editId="66270DFC">
          <wp:simplePos x="0" y="0"/>
          <wp:positionH relativeFrom="margin">
            <wp:align>left</wp:align>
          </wp:positionH>
          <wp:positionV relativeFrom="paragraph">
            <wp:posOffset>50165</wp:posOffset>
          </wp:positionV>
          <wp:extent cx="539115" cy="330835"/>
          <wp:effectExtent l="0" t="0" r="0" b="0"/>
          <wp:wrapNone/>
          <wp:docPr id="1" name="imgLogoET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ETF2"/>
                  <pic:cNvPicPr/>
                </pic:nvPicPr>
                <pic:blipFill rotWithShape="1">
                  <a:blip r:embed="rId1">
                    <a:extLst>
                      <a:ext uri="{28A0092B-C50C-407E-A947-70E740481C1C}">
                        <a14:useLocalDpi xmlns:a14="http://schemas.microsoft.com/office/drawing/2010/main" val="0"/>
                      </a:ext>
                    </a:extLst>
                  </a:blip>
                  <a:srcRect l="11443" t="20562" r="10220" b="20032"/>
                  <a:stretch/>
                </pic:blipFill>
                <pic:spPr bwMode="auto">
                  <a:xfrm>
                    <a:off x="0" y="0"/>
                    <a:ext cx="539115" cy="330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val="0"/>
        <w:lang w:val="ro"/>
      </w:rPr>
      <w:ptab w:relativeTo="margin" w:alignment="right" w:leader="none"/>
    </w:r>
    <w:r>
      <w:rPr>
        <w:b w:val="0"/>
        <w:lang w:val="ro"/>
      </w:rPr>
      <w:fldChar w:fldCharType="begin"/>
    </w:r>
    <w:r>
      <w:rPr>
        <w:b w:val="0"/>
        <w:lang w:val="ro"/>
      </w:rPr>
      <w:instrText xml:space="preserve"> PAGE  \# "00" </w:instrText>
    </w:r>
    <w:r>
      <w:rPr>
        <w:b w:val="0"/>
        <w:lang w:val="ro"/>
      </w:rPr>
      <w:fldChar w:fldCharType="separate"/>
    </w:r>
    <w:r w:rsidR="00B457AC">
      <w:rPr>
        <w:b w:val="0"/>
        <w:noProof/>
        <w:lang w:val="ro"/>
      </w:rPr>
      <w:t>04</w:t>
    </w:r>
    <w:r>
      <w:rPr>
        <w:b w:val="0"/>
        <w:lang w:val="r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A8098" w14:textId="39DD39B7" w:rsidR="00240839" w:rsidRDefault="00240839" w:rsidP="00240839">
    <w:pPr>
      <w:pStyle w:val="Footer"/>
    </w:pPr>
  </w:p>
  <w:p w14:paraId="6AE3F1ED" w14:textId="77777777" w:rsidR="00240839" w:rsidRDefault="00240839" w:rsidP="00240839">
    <w:pPr>
      <w:pStyle w:val="Footer"/>
    </w:pPr>
  </w:p>
  <w:p w14:paraId="45C4FF78" w14:textId="76D4A5EA" w:rsidR="00636F0B" w:rsidRPr="000B2428" w:rsidRDefault="000B2428" w:rsidP="000B2428">
    <w:pPr>
      <w:pStyle w:val="Footerwithline"/>
    </w:pPr>
    <w:r>
      <w:rPr>
        <w:bCs/>
        <w:lang w:val="ro"/>
      </w:rPr>
      <w:t>Planificare strategică pentru politici educaționale durabile</w:t>
    </w:r>
    <w:r>
      <w:rPr>
        <w:bCs/>
        <w:lang w:val="ro"/>
      </w:rPr>
      <w:ptab w:relativeTo="margin" w:alignment="right" w:leader="none"/>
    </w:r>
    <w:r>
      <w:rPr>
        <w:bCs/>
        <w:lang w:val="ro"/>
      </w:rPr>
      <w:fldChar w:fldCharType="begin"/>
    </w:r>
    <w:r>
      <w:rPr>
        <w:bCs/>
        <w:lang w:val="ro"/>
      </w:rPr>
      <w:instrText xml:space="preserve"> PAGE  \# "00" </w:instrText>
    </w:r>
    <w:r>
      <w:rPr>
        <w:bCs/>
        <w:lang w:val="ro"/>
      </w:rPr>
      <w:fldChar w:fldCharType="separate"/>
    </w:r>
    <w:r w:rsidR="00B457AC">
      <w:rPr>
        <w:bCs/>
        <w:noProof/>
        <w:lang w:val="ro"/>
      </w:rPr>
      <w:t>01</w:t>
    </w:r>
    <w:r>
      <w:rPr>
        <w:b w:val="0"/>
        <w:lang w:val="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736F8" w14:textId="77777777" w:rsidR="00125E9E" w:rsidRDefault="00125E9E" w:rsidP="00870E0B">
      <w:pPr>
        <w:spacing w:after="0" w:line="240" w:lineRule="auto"/>
      </w:pPr>
      <w:r>
        <w:separator/>
      </w:r>
    </w:p>
  </w:footnote>
  <w:footnote w:type="continuationSeparator" w:id="0">
    <w:p w14:paraId="0E1FDC23" w14:textId="77777777" w:rsidR="00125E9E" w:rsidRDefault="00125E9E" w:rsidP="00870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C0BB2" w14:textId="1B9EF4D6" w:rsidR="005C0892" w:rsidRPr="00240839" w:rsidRDefault="00BC723B" w:rsidP="00240839">
    <w:pPr>
      <w:pStyle w:val="Header"/>
    </w:pPr>
    <w:r>
      <w:rPr>
        <w:noProof/>
        <w:lang w:val="en-US"/>
      </w:rPr>
      <w:drawing>
        <wp:anchor distT="0" distB="0" distL="114300" distR="114300" simplePos="0" relativeHeight="251664384" behindDoc="1" locked="0" layoutInCell="1" allowOverlap="1" wp14:anchorId="44E8C14F" wp14:editId="2A230D38">
          <wp:simplePos x="0" y="0"/>
          <wp:positionH relativeFrom="margin">
            <wp:posOffset>2343150</wp:posOffset>
          </wp:positionH>
          <wp:positionV relativeFrom="paragraph">
            <wp:posOffset>81915</wp:posOffset>
          </wp:positionV>
          <wp:extent cx="1422326" cy="495240"/>
          <wp:effectExtent l="0" t="0" r="0" b="0"/>
          <wp:wrapNone/>
          <wp:docPr id="8" name="Picture 8" descr="A screenshot of a computer&#10;&#10;Description automatically generated with medium confidenc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88697F2-BE86-1D2D-2CB5-B747FA7B90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computer&#10;&#10;Description automatically generated with medium confidence">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88697F2-BE86-1D2D-2CB5-B747FA7B90B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22326" cy="49524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1" layoutInCell="1" allowOverlap="1" wp14:anchorId="1DEC8075" wp14:editId="6853BFBC">
          <wp:simplePos x="0" y="0"/>
          <wp:positionH relativeFrom="rightMargin">
            <wp:posOffset>-320675</wp:posOffset>
          </wp:positionH>
          <wp:positionV relativeFrom="page">
            <wp:posOffset>387350</wp:posOffset>
          </wp:positionV>
          <wp:extent cx="889000" cy="719455"/>
          <wp:effectExtent l="0" t="0" r="0" b="4445"/>
          <wp:wrapNone/>
          <wp:docPr id="11" name="imgLogo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2">
                    <a:extLst>
                      <a:ext uri="{28A0092B-C50C-407E-A947-70E740481C1C}">
                        <a14:useLocalDpi xmlns:a14="http://schemas.microsoft.com/office/drawing/2010/main" val="0"/>
                      </a:ext>
                    </a:extLst>
                  </a:blip>
                  <a:stretch>
                    <a:fillRect/>
                  </a:stretch>
                </pic:blipFill>
                <pic:spPr>
                  <a:xfrm>
                    <a:off x="0" y="0"/>
                    <a:ext cx="889000" cy="71945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1" layoutInCell="1" allowOverlap="1" wp14:anchorId="2E2F0380" wp14:editId="36AEC099">
          <wp:simplePos x="0" y="0"/>
          <wp:positionH relativeFrom="page">
            <wp:posOffset>288290</wp:posOffset>
          </wp:positionH>
          <wp:positionV relativeFrom="page">
            <wp:posOffset>194310</wp:posOffset>
          </wp:positionV>
          <wp:extent cx="1357200" cy="1098000"/>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3">
                    <a:extLst>
                      <a:ext uri="{28A0092B-C50C-407E-A947-70E740481C1C}">
                        <a14:useLocalDpi xmlns:a14="http://schemas.microsoft.com/office/drawing/2010/main" val="0"/>
                      </a:ext>
                    </a:extLst>
                  </a:blip>
                  <a:stretch>
                    <a:fillRect/>
                  </a:stretch>
                </pic:blipFill>
                <pic:spPr>
                  <a:xfrm>
                    <a:off x="0" y="0"/>
                    <a:ext cx="1357200" cy="1098000"/>
                  </a:xfrm>
                  <a:prstGeom prst="rect">
                    <a:avLst/>
                  </a:prstGeom>
                </pic:spPr>
              </pic:pic>
            </a:graphicData>
          </a:graphic>
          <wp14:sizeRelH relativeFrom="page">
            <wp14:pctWidth>0</wp14:pctWidth>
          </wp14:sizeRelH>
          <wp14:sizeRelV relativeFrom="page">
            <wp14:pctHeight>0</wp14:pctHeight>
          </wp14:sizeRelV>
        </wp:anchor>
      </w:drawing>
    </w:r>
  </w:p>
  <w:p w14:paraId="13B95CF8" w14:textId="54DFC4A4" w:rsidR="00870E0B" w:rsidRPr="00240839" w:rsidRDefault="00870E0B" w:rsidP="00240839">
    <w:pPr>
      <w:pStyle w:val="Header"/>
    </w:pPr>
  </w:p>
  <w:p w14:paraId="49305D80" w14:textId="44F82BDF" w:rsidR="00870E0B" w:rsidRPr="00240839" w:rsidRDefault="00870E0B" w:rsidP="00240839">
    <w:pPr>
      <w:pStyle w:val="Header"/>
    </w:pPr>
  </w:p>
  <w:p w14:paraId="5F7FD54F" w14:textId="0529473F" w:rsidR="005005C0" w:rsidRPr="00240839" w:rsidRDefault="005005C0" w:rsidP="00240839">
    <w:pPr>
      <w:pStyle w:val="Header"/>
    </w:pPr>
  </w:p>
  <w:p w14:paraId="4627216C" w14:textId="77777777" w:rsidR="005005C0" w:rsidRDefault="005005C0" w:rsidP="00240839">
    <w:pPr>
      <w:pStyle w:val="Header"/>
    </w:pPr>
  </w:p>
  <w:p w14:paraId="663A1163" w14:textId="77777777" w:rsidR="00A15E42" w:rsidRDefault="00A15E42" w:rsidP="00240839">
    <w:pPr>
      <w:pStyle w:val="Header"/>
    </w:pPr>
  </w:p>
  <w:p w14:paraId="5CB9E50B" w14:textId="77777777" w:rsidR="00A15E42" w:rsidRPr="00A15E42" w:rsidRDefault="00A15E42" w:rsidP="00240839">
    <w:pPr>
      <w:pStyle w:val="Header"/>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10E46248"/>
    <w:lvl w:ilvl="0">
      <w:start w:val="1"/>
      <w:numFmt w:val="decimal"/>
      <w:lvlText w:val="%1."/>
      <w:lvlJc w:val="left"/>
      <w:pPr>
        <w:tabs>
          <w:tab w:val="num" w:pos="926"/>
        </w:tabs>
        <w:ind w:left="926" w:hanging="360"/>
      </w:pPr>
    </w:lvl>
  </w:abstractNum>
  <w:abstractNum w:abstractNumId="1">
    <w:nsid w:val="FFFFFF7F"/>
    <w:multiLevelType w:val="singleLevel"/>
    <w:tmpl w:val="01625C3E"/>
    <w:lvl w:ilvl="0">
      <w:start w:val="1"/>
      <w:numFmt w:val="decimal"/>
      <w:lvlText w:val="%1."/>
      <w:lvlJc w:val="left"/>
      <w:pPr>
        <w:tabs>
          <w:tab w:val="num" w:pos="643"/>
        </w:tabs>
        <w:ind w:left="643" w:hanging="360"/>
      </w:pPr>
    </w:lvl>
  </w:abstractNum>
  <w:abstractNum w:abstractNumId="2">
    <w:nsid w:val="FFFFFF82"/>
    <w:multiLevelType w:val="singleLevel"/>
    <w:tmpl w:val="95B2595C"/>
    <w:lvl w:ilvl="0">
      <w:start w:val="1"/>
      <w:numFmt w:val="bullet"/>
      <w:lvlText w:val="-"/>
      <w:lvlJc w:val="left"/>
      <w:pPr>
        <w:ind w:left="926" w:hanging="360"/>
      </w:pPr>
      <w:rPr>
        <w:rFonts w:ascii="Arial" w:hAnsi="Arial" w:hint="default"/>
        <w:color w:val="D6DCE4" w:themeColor="background2"/>
      </w:rPr>
    </w:lvl>
  </w:abstractNum>
  <w:abstractNum w:abstractNumId="3">
    <w:nsid w:val="FFFFFF83"/>
    <w:multiLevelType w:val="singleLevel"/>
    <w:tmpl w:val="ED7A0142"/>
    <w:lvl w:ilvl="0">
      <w:start w:val="1"/>
      <w:numFmt w:val="bullet"/>
      <w:lvlText w:val=""/>
      <w:lvlJc w:val="left"/>
      <w:pPr>
        <w:ind w:left="643" w:hanging="360"/>
      </w:pPr>
      <w:rPr>
        <w:rFonts w:ascii="Wingdings" w:hAnsi="Wingdings" w:hint="default"/>
        <w:color w:val="D6DCE4" w:themeColor="background2"/>
      </w:rPr>
    </w:lvl>
  </w:abstractNum>
  <w:abstractNum w:abstractNumId="4">
    <w:nsid w:val="01C05C3F"/>
    <w:multiLevelType w:val="hybridMultilevel"/>
    <w:tmpl w:val="8206A704"/>
    <w:lvl w:ilvl="0" w:tplc="F39C4C1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254B9E"/>
    <w:multiLevelType w:val="multilevel"/>
    <w:tmpl w:val="58E0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nsid w:val="0E674614"/>
    <w:multiLevelType w:val="multilevel"/>
    <w:tmpl w:val="6050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923173"/>
    <w:multiLevelType w:val="hybridMultilevel"/>
    <w:tmpl w:val="964092A6"/>
    <w:lvl w:ilvl="0" w:tplc="F39C4C1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E65C51"/>
    <w:multiLevelType w:val="hybridMultilevel"/>
    <w:tmpl w:val="FA02A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C72F47"/>
    <w:multiLevelType w:val="hybridMultilevel"/>
    <w:tmpl w:val="40985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D83BC7"/>
    <w:multiLevelType w:val="multilevel"/>
    <w:tmpl w:val="FF483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9C07B9"/>
    <w:multiLevelType w:val="multilevel"/>
    <w:tmpl w:val="E86E8174"/>
    <w:lvl w:ilvl="0">
      <w:start w:val="1"/>
      <w:numFmt w:val="bullet"/>
      <w:pStyle w:val="ListBullet"/>
      <w:lvlText w:val=""/>
      <w:lvlJc w:val="left"/>
      <w:pPr>
        <w:ind w:left="284" w:hanging="284"/>
      </w:pPr>
      <w:rPr>
        <w:rFonts w:ascii="Wingdings" w:hAnsi="Wingdings" w:hint="default"/>
        <w:color w:val="0092BB" w:themeColor="text2"/>
        <w:sz w:val="24"/>
      </w:rPr>
    </w:lvl>
    <w:lvl w:ilvl="1">
      <w:start w:val="1"/>
      <w:numFmt w:val="bullet"/>
      <w:pStyle w:val="ListBullet2"/>
      <w:lvlText w:val=""/>
      <w:lvlJc w:val="left"/>
      <w:pPr>
        <w:ind w:left="568" w:hanging="284"/>
      </w:pPr>
      <w:rPr>
        <w:rFonts w:ascii="Symbol" w:hAnsi="Symbol" w:hint="default"/>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nsid w:val="38F005DF"/>
    <w:multiLevelType w:val="multilevel"/>
    <w:tmpl w:val="F552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F25EC5"/>
    <w:multiLevelType w:val="hybridMultilevel"/>
    <w:tmpl w:val="DAD4BA74"/>
    <w:lvl w:ilvl="0" w:tplc="F39C4C1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E213B6"/>
    <w:multiLevelType w:val="hybridMultilevel"/>
    <w:tmpl w:val="E2D6AC26"/>
    <w:lvl w:ilvl="0" w:tplc="F39C4C1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8B713D"/>
    <w:multiLevelType w:val="multilevel"/>
    <w:tmpl w:val="F58EF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0C41E4"/>
    <w:multiLevelType w:val="multilevel"/>
    <w:tmpl w:val="197E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3B5F57"/>
    <w:multiLevelType w:val="multilevel"/>
    <w:tmpl w:val="8AB8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0B620A"/>
    <w:multiLevelType w:val="multilevel"/>
    <w:tmpl w:val="D4FC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7050FE"/>
    <w:multiLevelType w:val="multilevel"/>
    <w:tmpl w:val="BCC8B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912417"/>
    <w:multiLevelType w:val="multilevel"/>
    <w:tmpl w:val="64BCD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026E84"/>
    <w:multiLevelType w:val="hybridMultilevel"/>
    <w:tmpl w:val="C0CAB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AA75312"/>
    <w:multiLevelType w:val="multilevel"/>
    <w:tmpl w:val="4392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4A4BAF"/>
    <w:multiLevelType w:val="multilevel"/>
    <w:tmpl w:val="81648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513FDE"/>
    <w:multiLevelType w:val="multilevel"/>
    <w:tmpl w:val="D85497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240A53"/>
    <w:multiLevelType w:val="hybridMultilevel"/>
    <w:tmpl w:val="4F56F302"/>
    <w:lvl w:ilvl="0" w:tplc="F39C4C1E">
      <w:numFmt w:val="bullet"/>
      <w:lvlText w:val="•"/>
      <w:lvlJc w:val="left"/>
      <w:pPr>
        <w:ind w:left="1140" w:hanging="72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nsid w:val="7A3C15CF"/>
    <w:multiLevelType w:val="hybridMultilevel"/>
    <w:tmpl w:val="D94A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6"/>
  </w:num>
  <w:num w:numId="11">
    <w:abstractNumId w:val="6"/>
  </w:num>
  <w:num w:numId="12">
    <w:abstractNumId w:val="9"/>
  </w:num>
  <w:num w:numId="13">
    <w:abstractNumId w:val="7"/>
  </w:num>
  <w:num w:numId="14">
    <w:abstractNumId w:val="22"/>
  </w:num>
  <w:num w:numId="15">
    <w:abstractNumId w:val="19"/>
  </w:num>
  <w:num w:numId="16">
    <w:abstractNumId w:val="23"/>
  </w:num>
  <w:num w:numId="17">
    <w:abstractNumId w:val="17"/>
  </w:num>
  <w:num w:numId="18">
    <w:abstractNumId w:val="18"/>
  </w:num>
  <w:num w:numId="19">
    <w:abstractNumId w:val="10"/>
  </w:num>
  <w:num w:numId="20">
    <w:abstractNumId w:val="5"/>
  </w:num>
  <w:num w:numId="21">
    <w:abstractNumId w:val="24"/>
  </w:num>
  <w:num w:numId="22">
    <w:abstractNumId w:val="20"/>
  </w:num>
  <w:num w:numId="23">
    <w:abstractNumId w:val="13"/>
  </w:num>
  <w:num w:numId="24">
    <w:abstractNumId w:val="16"/>
  </w:num>
  <w:num w:numId="25">
    <w:abstractNumId w:val="21"/>
  </w:num>
  <w:num w:numId="26">
    <w:abstractNumId w:val="11"/>
  </w:num>
  <w:num w:numId="27">
    <w:abstractNumId w:val="25"/>
  </w:num>
  <w:num w:numId="28">
    <w:abstractNumId w:val="27"/>
  </w:num>
  <w:num w:numId="29">
    <w:abstractNumId w:val="4"/>
  </w:num>
  <w:num w:numId="30">
    <w:abstractNumId w:val="15"/>
  </w:num>
  <w:num w:numId="31">
    <w:abstractNumId w:val="8"/>
  </w:num>
  <w:num w:numId="32">
    <w:abstractNumId w:val="2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3B"/>
    <w:rsid w:val="00030FBC"/>
    <w:rsid w:val="00065D31"/>
    <w:rsid w:val="000876ED"/>
    <w:rsid w:val="00093380"/>
    <w:rsid w:val="00096994"/>
    <w:rsid w:val="000A1F43"/>
    <w:rsid w:val="000B2428"/>
    <w:rsid w:val="000D1E04"/>
    <w:rsid w:val="000E73CA"/>
    <w:rsid w:val="000F7027"/>
    <w:rsid w:val="0010337A"/>
    <w:rsid w:val="00125E9E"/>
    <w:rsid w:val="00146446"/>
    <w:rsid w:val="00176904"/>
    <w:rsid w:val="001872F9"/>
    <w:rsid w:val="001C3CB1"/>
    <w:rsid w:val="001D483D"/>
    <w:rsid w:val="001F6A3C"/>
    <w:rsid w:val="00240839"/>
    <w:rsid w:val="00275584"/>
    <w:rsid w:val="002A102D"/>
    <w:rsid w:val="002B2A69"/>
    <w:rsid w:val="002C36D9"/>
    <w:rsid w:val="002E16B6"/>
    <w:rsid w:val="00312630"/>
    <w:rsid w:val="00387466"/>
    <w:rsid w:val="003B776D"/>
    <w:rsid w:val="003C4A04"/>
    <w:rsid w:val="00416CB9"/>
    <w:rsid w:val="0042251C"/>
    <w:rsid w:val="00431D2D"/>
    <w:rsid w:val="004758A0"/>
    <w:rsid w:val="004B55BD"/>
    <w:rsid w:val="004C6157"/>
    <w:rsid w:val="005005C0"/>
    <w:rsid w:val="0050145A"/>
    <w:rsid w:val="00535119"/>
    <w:rsid w:val="00565338"/>
    <w:rsid w:val="00567254"/>
    <w:rsid w:val="00575BB8"/>
    <w:rsid w:val="00593DE4"/>
    <w:rsid w:val="005B1EDA"/>
    <w:rsid w:val="005C0892"/>
    <w:rsid w:val="00636F0B"/>
    <w:rsid w:val="00654506"/>
    <w:rsid w:val="006A4AA3"/>
    <w:rsid w:val="006B6AFD"/>
    <w:rsid w:val="006E4DD2"/>
    <w:rsid w:val="006F4980"/>
    <w:rsid w:val="00725004"/>
    <w:rsid w:val="00735ADA"/>
    <w:rsid w:val="00744FC4"/>
    <w:rsid w:val="00797061"/>
    <w:rsid w:val="007976FA"/>
    <w:rsid w:val="007C1030"/>
    <w:rsid w:val="007D73C2"/>
    <w:rsid w:val="00870E0B"/>
    <w:rsid w:val="00956BB0"/>
    <w:rsid w:val="00987BC6"/>
    <w:rsid w:val="009D206E"/>
    <w:rsid w:val="009F4015"/>
    <w:rsid w:val="00A15E42"/>
    <w:rsid w:val="00A36CB1"/>
    <w:rsid w:val="00A71074"/>
    <w:rsid w:val="00AB7AE5"/>
    <w:rsid w:val="00AE5870"/>
    <w:rsid w:val="00AF6E67"/>
    <w:rsid w:val="00B019A2"/>
    <w:rsid w:val="00B0568F"/>
    <w:rsid w:val="00B13C93"/>
    <w:rsid w:val="00B449EA"/>
    <w:rsid w:val="00B457AC"/>
    <w:rsid w:val="00BC723B"/>
    <w:rsid w:val="00C42BF2"/>
    <w:rsid w:val="00C5276E"/>
    <w:rsid w:val="00CA240B"/>
    <w:rsid w:val="00CD7155"/>
    <w:rsid w:val="00D1551F"/>
    <w:rsid w:val="00D17737"/>
    <w:rsid w:val="00D43781"/>
    <w:rsid w:val="00D638CB"/>
    <w:rsid w:val="00D7429C"/>
    <w:rsid w:val="00D81DC5"/>
    <w:rsid w:val="00D92635"/>
    <w:rsid w:val="00DB6EC9"/>
    <w:rsid w:val="00DF4B46"/>
    <w:rsid w:val="00E97FCC"/>
    <w:rsid w:val="00EA7B1E"/>
    <w:rsid w:val="00EB085E"/>
    <w:rsid w:val="00EB7715"/>
    <w:rsid w:val="00F0374A"/>
    <w:rsid w:val="00F70916"/>
    <w:rsid w:val="00F737D3"/>
    <w:rsid w:val="00FA3D50"/>
    <w:rsid w:val="00FA6B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B5894"/>
  <w15:docId w15:val="{0E8AA0D9-EFDD-493A-B847-7ABAC5B3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38" w:qFormat="1"/>
    <w:lsdException w:name="heading 6" w:semiHidden="1" w:uiPriority="38" w:qFormat="1"/>
    <w:lsdException w:name="heading 7" w:semiHidden="1" w:uiPriority="38" w:qFormat="1"/>
    <w:lsdException w:name="heading 8" w:semiHidden="1" w:uiPriority="38" w:qFormat="1"/>
    <w:lsdException w:name="heading 9" w:semiHidden="1" w:uiPriority="3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semiHidden="1" w:uiPriority="35"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28"/>
    <w:lsdException w:name="FollowedHyperlink" w:semiHidden="1" w:unhideWhenUsed="1"/>
    <w:lsdException w:name="Strong" w:semiHidden="1" w:uiPriority="37" w:qFormat="1"/>
    <w:lsdException w:name="Emphasis" w:semiHidden="1" w:uiPriority="3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7" w:qFormat="1"/>
    <w:lsdException w:name="Intense Quote" w:semiHidden="1" w:uiPriority="3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qFormat="1"/>
    <w:lsdException w:name="Intense Emphasis" w:semiHidden="1" w:uiPriority="37" w:qFormat="1"/>
    <w:lsdException w:name="Subtle Reference" w:semiHidden="1" w:uiPriority="37" w:qFormat="1"/>
    <w:lsdException w:name="Intense Reference" w:semiHidden="1" w:uiPriority="37" w:qFormat="1"/>
    <w:lsdException w:name="Book Title" w:semiHidden="1" w:uiPriority="37" w:qFormat="1"/>
    <w:lsdException w:name="Bibliography" w:semiHidden="1" w:uiPriority="3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rsid w:val="007C1030"/>
    <w:rPr>
      <w:sz w:val="20"/>
    </w:rPr>
  </w:style>
  <w:style w:type="paragraph" w:styleId="Heading1">
    <w:name w:val="heading 1"/>
    <w:basedOn w:val="BodyText"/>
    <w:next w:val="BodyText"/>
    <w:link w:val="Heading1Char"/>
    <w:uiPriority w:val="9"/>
    <w:qFormat/>
    <w:rsid w:val="00387466"/>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387466"/>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C42BF2"/>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C42BF2"/>
    <w:pPr>
      <w:spacing w:before="240" w:after="60"/>
      <w:outlineLvl w:val="3"/>
    </w:pPr>
    <w:rPr>
      <w:b/>
      <w:bCs/>
      <w:color w:val="0092B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466"/>
    <w:rPr>
      <w:b/>
      <w:bCs/>
      <w:color w:val="0092BB" w:themeColor="text2"/>
      <w:sz w:val="36"/>
      <w:szCs w:val="60"/>
    </w:rPr>
  </w:style>
  <w:style w:type="character" w:customStyle="1" w:styleId="Heading2Char">
    <w:name w:val="Heading 2 Char"/>
    <w:basedOn w:val="DefaultParagraphFont"/>
    <w:link w:val="Heading2"/>
    <w:uiPriority w:val="9"/>
    <w:rsid w:val="00387466"/>
    <w:rPr>
      <w:b/>
      <w:bCs/>
      <w:color w:val="0092BB" w:themeColor="text2"/>
      <w:sz w:val="28"/>
      <w:szCs w:val="36"/>
    </w:rPr>
  </w:style>
  <w:style w:type="paragraph" w:styleId="ListBullet">
    <w:name w:val="List Bullet"/>
    <w:aliases w:val="List B1"/>
    <w:basedOn w:val="Normal"/>
    <w:uiPriority w:val="2"/>
    <w:qFormat/>
    <w:rsid w:val="00B0568F"/>
    <w:pPr>
      <w:numPr>
        <w:numId w:val="9"/>
      </w:numPr>
      <w:spacing w:after="120"/>
    </w:pPr>
    <w:rPr>
      <w:color w:val="455560" w:themeColor="text1"/>
    </w:rPr>
  </w:style>
  <w:style w:type="paragraph" w:styleId="ListBullet2">
    <w:name w:val="List Bullet 2"/>
    <w:aliases w:val="List B2"/>
    <w:basedOn w:val="Normal"/>
    <w:uiPriority w:val="10"/>
    <w:qFormat/>
    <w:rsid w:val="00B0568F"/>
    <w:pPr>
      <w:numPr>
        <w:ilvl w:val="1"/>
        <w:numId w:val="9"/>
      </w:numPr>
      <w:spacing w:after="120"/>
    </w:pPr>
    <w:rPr>
      <w:color w:val="455560" w:themeColor="text1"/>
    </w:rPr>
  </w:style>
  <w:style w:type="paragraph" w:styleId="ListBullet3">
    <w:name w:val="List Bullet 3"/>
    <w:basedOn w:val="Normal"/>
    <w:uiPriority w:val="34"/>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customStyle="1" w:styleId="BodyTextChar">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B0568F"/>
    <w:pPr>
      <w:numPr>
        <w:numId w:val="11"/>
      </w:numPr>
      <w:spacing w:after="120"/>
    </w:pPr>
    <w:rPr>
      <w:color w:val="455560" w:themeColor="text1"/>
    </w:rPr>
  </w:style>
  <w:style w:type="paragraph" w:styleId="ListNumber2">
    <w:name w:val="List Number 2"/>
    <w:aliases w:val="List N2"/>
    <w:basedOn w:val="Normal"/>
    <w:uiPriority w:val="11"/>
    <w:qFormat/>
    <w:rsid w:val="00B0568F"/>
    <w:pPr>
      <w:numPr>
        <w:ilvl w:val="1"/>
        <w:numId w:val="11"/>
      </w:numPr>
      <w:spacing w:after="120"/>
    </w:pPr>
    <w:rPr>
      <w:color w:val="455560" w:themeColor="text1"/>
    </w:rPr>
  </w:style>
  <w:style w:type="paragraph" w:styleId="ListNumber3">
    <w:name w:val="List Number 3"/>
    <w:basedOn w:val="Normal"/>
    <w:uiPriority w:val="34"/>
    <w:semiHidden/>
    <w:qFormat/>
    <w:rsid w:val="00B0568F"/>
    <w:pPr>
      <w:contextualSpacing/>
    </w:pPr>
  </w:style>
  <w:style w:type="character" w:customStyle="1" w:styleId="Heading3Char">
    <w:name w:val="Heading 3 Char"/>
    <w:basedOn w:val="DefaultParagraphFont"/>
    <w:link w:val="Heading3"/>
    <w:uiPriority w:val="9"/>
    <w:rsid w:val="00C42BF2"/>
    <w:rPr>
      <w:b/>
      <w:bCs/>
      <w:color w:val="0092BB" w:themeColor="text2"/>
      <w:sz w:val="23"/>
      <w:szCs w:val="23"/>
      <w:lang w:val="fr-FR"/>
    </w:rPr>
  </w:style>
  <w:style w:type="paragraph" w:styleId="Header">
    <w:name w:val="header"/>
    <w:basedOn w:val="Normal"/>
    <w:link w:val="HeaderChar"/>
    <w:uiPriority w:val="30"/>
    <w:rsid w:val="00240839"/>
    <w:pPr>
      <w:tabs>
        <w:tab w:val="center" w:pos="4513"/>
        <w:tab w:val="right" w:pos="9026"/>
      </w:tabs>
      <w:spacing w:after="0" w:line="240" w:lineRule="auto"/>
    </w:pPr>
    <w:rPr>
      <w:color w:val="FFFFFF" w:themeColor="background1"/>
    </w:rPr>
  </w:style>
  <w:style w:type="character" w:customStyle="1" w:styleId="HeaderChar">
    <w:name w:val="Header Char"/>
    <w:basedOn w:val="DefaultParagraphFont"/>
    <w:link w:val="Header"/>
    <w:uiPriority w:val="30"/>
    <w:rsid w:val="00B0568F"/>
    <w:rPr>
      <w:color w:val="FFFFFF" w:themeColor="background1"/>
      <w:sz w:val="20"/>
    </w:rPr>
  </w:style>
  <w:style w:type="paragraph" w:styleId="Footer">
    <w:name w:val="footer"/>
    <w:basedOn w:val="Normal"/>
    <w:link w:val="FooterChar"/>
    <w:uiPriority w:val="31"/>
    <w:rsid w:val="00240839"/>
    <w:pPr>
      <w:tabs>
        <w:tab w:val="center" w:pos="4513"/>
        <w:tab w:val="right" w:pos="9026"/>
      </w:tabs>
      <w:spacing w:after="0" w:line="240" w:lineRule="auto"/>
    </w:pPr>
    <w:rPr>
      <w:color w:val="FFFFFF" w:themeColor="background1"/>
      <w:sz w:val="17"/>
    </w:rPr>
  </w:style>
  <w:style w:type="character" w:customStyle="1" w:styleId="FooterChar">
    <w:name w:val="Footer Char"/>
    <w:basedOn w:val="DefaultParagraphFont"/>
    <w:link w:val="Footer"/>
    <w:uiPriority w:val="31"/>
    <w:rsid w:val="00B0568F"/>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0B"/>
    <w:rPr>
      <w:rFonts w:ascii="Segoe UI" w:hAnsi="Segoe UI" w:cs="Segoe UI"/>
      <w:sz w:val="18"/>
      <w:szCs w:val="18"/>
    </w:rPr>
  </w:style>
  <w:style w:type="table" w:styleId="TableGrid">
    <w:name w:val="Table Grid"/>
    <w:basedOn w:val="TableNormal"/>
    <w:uiPriority w:val="39"/>
    <w:rsid w:val="00636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withline">
    <w:name w:val="Footer (with line)"/>
    <w:basedOn w:val="Normal"/>
    <w:uiPriority w:val="31"/>
    <w:rsid w:val="00240839"/>
    <w:pPr>
      <w:pBdr>
        <w:top w:val="single" w:sz="12" w:space="6" w:color="0092BB" w:themeColor="text2"/>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character" w:styleId="PlaceholderText">
    <w:name w:val="Placeholder Text"/>
    <w:basedOn w:val="DefaultParagraphFont"/>
    <w:uiPriority w:val="99"/>
    <w:semiHidden/>
    <w:rsid w:val="000D1E04"/>
    <w:rPr>
      <w:color w:val="808080"/>
    </w:rPr>
  </w:style>
  <w:style w:type="table" w:customStyle="1" w:styleId="ETF2021">
    <w:name w:val="ETF2021"/>
    <w:basedOn w:val="TableNormal"/>
    <w:uiPriority w:val="99"/>
    <w:rsid w:val="00030FBC"/>
    <w:pPr>
      <w:spacing w:after="0" w:line="240" w:lineRule="auto"/>
    </w:pPr>
    <w:tblPr>
      <w:tblInd w:w="0" w:type="dxa"/>
      <w:tblBorders>
        <w:top w:val="single" w:sz="12" w:space="0" w:color="0092BB" w:themeColor="text2"/>
        <w:bottom w:val="single" w:sz="12" w:space="0" w:color="0092BB" w:themeColor="text2"/>
        <w:insideH w:val="single" w:sz="8" w:space="0" w:color="CBD0D3"/>
        <w:insideV w:val="single" w:sz="8" w:space="0" w:color="CBD0D3"/>
      </w:tblBorders>
      <w:tblCellMar>
        <w:top w:w="113" w:type="dxa"/>
        <w:left w:w="108" w:type="dxa"/>
        <w:bottom w:w="113" w:type="dxa"/>
        <w:right w:w="108" w:type="dxa"/>
      </w:tblCellMar>
    </w:tblPr>
    <w:tcPr>
      <w:shd w:val="clear" w:color="auto" w:fill="F9F9F9"/>
    </w:tcPr>
    <w:tblStylePr w:type="firstRow">
      <w:tblPr/>
      <w:tcPr>
        <w:tcBorders>
          <w:top w:val="single" w:sz="12" w:space="0" w:color="0092BB" w:themeColor="text2"/>
          <w:left w:val="nil"/>
          <w:bottom w:val="single" w:sz="12" w:space="0" w:color="0092BB" w:themeColor="text2"/>
          <w:right w:val="nil"/>
          <w:insideH w:val="nil"/>
          <w:insideV w:val="single" w:sz="8" w:space="0" w:color="CBD0D3"/>
          <w:tl2br w:val="nil"/>
          <w:tr2bl w:val="nil"/>
        </w:tcBorders>
        <w:shd w:val="clear" w:color="auto" w:fill="F9F9F9"/>
      </w:tcPr>
    </w:tblStylePr>
  </w:style>
  <w:style w:type="paragraph" w:customStyle="1" w:styleId="TableHeading">
    <w:name w:val="Table Heading"/>
    <w:aliases w:val="Tbl Hdg"/>
    <w:basedOn w:val="BodyText"/>
    <w:uiPriority w:val="15"/>
    <w:qFormat/>
    <w:rsid w:val="00030FBC"/>
    <w:pPr>
      <w:spacing w:after="0" w:line="240" w:lineRule="auto"/>
    </w:pPr>
    <w:rPr>
      <w:b/>
      <w:color w:val="0092BB" w:themeColor="text2"/>
      <w:sz w:val="18"/>
    </w:rPr>
  </w:style>
  <w:style w:type="paragraph" w:customStyle="1" w:styleId="TableText">
    <w:name w:val="Table Text"/>
    <w:aliases w:val="Tbl Txt"/>
    <w:basedOn w:val="BodyText"/>
    <w:uiPriority w:val="16"/>
    <w:qFormat/>
    <w:rsid w:val="007C1030"/>
    <w:pPr>
      <w:spacing w:after="0" w:line="240" w:lineRule="auto"/>
    </w:pPr>
    <w:rPr>
      <w:sz w:val="17"/>
    </w:rPr>
  </w:style>
  <w:style w:type="paragraph" w:customStyle="1" w:styleId="Call-outText">
    <w:name w:val="Call-out Text"/>
    <w:aliases w:val="CO Txt"/>
    <w:basedOn w:val="BodyText"/>
    <w:uiPriority w:val="19"/>
    <w:qFormat/>
    <w:rsid w:val="00B0568F"/>
    <w:pPr>
      <w:spacing w:line="240" w:lineRule="auto"/>
    </w:pPr>
    <w:rPr>
      <w:sz w:val="18"/>
      <w:szCs w:val="18"/>
    </w:rPr>
  </w:style>
  <w:style w:type="paragraph" w:customStyle="1" w:styleId="Call-outSource">
    <w:name w:val="Call-out Source"/>
    <w:aliases w:val="CO Src"/>
    <w:basedOn w:val="Call-outText"/>
    <w:uiPriority w:val="20"/>
    <w:qFormat/>
    <w:rsid w:val="00B0568F"/>
    <w:pPr>
      <w:spacing w:before="360"/>
    </w:pPr>
    <w:rPr>
      <w:color w:val="0092BB" w:themeColor="text2"/>
      <w:sz w:val="16"/>
    </w:rPr>
  </w:style>
  <w:style w:type="paragraph" w:customStyle="1" w:styleId="Call-outTitle">
    <w:name w:val="Call-out Title"/>
    <w:aliases w:val="CO Ttl"/>
    <w:basedOn w:val="BodyText"/>
    <w:uiPriority w:val="18"/>
    <w:qFormat/>
    <w:rsid w:val="00B0568F"/>
    <w:pPr>
      <w:spacing w:after="320" w:line="240" w:lineRule="auto"/>
    </w:pPr>
    <w:rPr>
      <w:b/>
      <w:bCs/>
      <w:color w:val="0092BB" w:themeColor="text2"/>
    </w:rPr>
  </w:style>
  <w:style w:type="character" w:customStyle="1" w:styleId="Heading4Char">
    <w:name w:val="Heading 4 Char"/>
    <w:basedOn w:val="DefaultParagraphFont"/>
    <w:link w:val="Heading4"/>
    <w:uiPriority w:val="9"/>
    <w:rsid w:val="00C42BF2"/>
    <w:rPr>
      <w:b/>
      <w:bCs/>
      <w:color w:val="0092BB" w:themeColor="text2"/>
      <w:sz w:val="20"/>
    </w:rPr>
  </w:style>
  <w:style w:type="paragraph" w:customStyle="1" w:styleId="TableSource">
    <w:name w:val="Table Source"/>
    <w:aliases w:val="Tbl Src"/>
    <w:basedOn w:val="BodyText"/>
    <w:uiPriority w:val="17"/>
    <w:qFormat/>
    <w:rsid w:val="00B0568F"/>
    <w:rPr>
      <w:color w:val="0092BB" w:themeColor="text2"/>
      <w:sz w:val="16"/>
      <w:szCs w:val="16"/>
    </w:rPr>
  </w:style>
  <w:style w:type="paragraph" w:customStyle="1" w:styleId="TableTitle">
    <w:name w:val="Table Title"/>
    <w:aliases w:val="Tbl Ttl"/>
    <w:basedOn w:val="BodyText"/>
    <w:uiPriority w:val="14"/>
    <w:qFormat/>
    <w:rsid w:val="00B0568F"/>
    <w:rPr>
      <w:b/>
      <w:bCs/>
      <w:color w:val="0092BB" w:themeColor="text2"/>
    </w:rPr>
  </w:style>
  <w:style w:type="paragraph" w:customStyle="1" w:styleId="TableFirstColumn">
    <w:name w:val="Table First Column"/>
    <w:aliases w:val="Tbl FC"/>
    <w:basedOn w:val="TableText"/>
    <w:uiPriority w:val="16"/>
    <w:qFormat/>
    <w:rsid w:val="00CA240B"/>
    <w:rPr>
      <w:bCs/>
      <w:color w:val="0092BB" w:themeColor="text2"/>
    </w:rPr>
  </w:style>
  <w:style w:type="paragraph" w:styleId="ListParagraph">
    <w:name w:val="List Paragraph"/>
    <w:basedOn w:val="Normal"/>
    <w:uiPriority w:val="34"/>
    <w:qFormat/>
    <w:rsid w:val="000B2428"/>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Blank%20-%20Portrait.dotm" TargetMode="External"/></Relationships>
</file>

<file path=word/theme/theme1.xml><?xml version="1.0" encoding="utf-8"?>
<a:theme xmlns:a="http://schemas.openxmlformats.org/drawingml/2006/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45B698B556D0B4C9502A5ACF2AED6A9" ma:contentTypeVersion="18" ma:contentTypeDescription="Create a new document." ma:contentTypeScope="" ma:versionID="3432e0d82aa2c6cbc318ab7ebf7bed1a">
  <xsd:schema xmlns:xsd="http://www.w3.org/2001/XMLSchema" xmlns:xs="http://www.w3.org/2001/XMLSchema" xmlns:p="http://schemas.microsoft.com/office/2006/metadata/properties" xmlns:ns2="834c7a77-a186-4b33-ad65-f5fdf95755b4" xmlns:ns3="b3144a11-e500-4ade-8fe4-7de3e8b2f8df" targetNamespace="http://schemas.microsoft.com/office/2006/metadata/properties" ma:root="true" ma:fieldsID="e892449e9d01326dccfd0f4574390e63" ns2:_="" ns3:_="">
    <xsd:import namespace="834c7a77-a186-4b33-ad65-f5fdf95755b4"/>
    <xsd:import namespace="b3144a11-e500-4ade-8fe4-7de3e8b2f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c7a77-a186-4b33-ad65-f5fdf9575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44a11-e500-4ade-8fe4-7de3e8b2f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d01145-b743-4b9f-bd72-c5f5060489c5}" ma:internalName="TaxCatchAll" ma:showField="CatchAllData" ma:web="b3144a11-e500-4ade-8fe4-7de3e8b2f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3144a11-e500-4ade-8fe4-7de3e8b2f8df">DMSPOL-593052326-20986</_dlc_DocId>
    <TaxCatchAll xmlns="b3144a11-e500-4ade-8fe4-7de3e8b2f8df" xsi:nil="true"/>
    <lcf76f155ced4ddcb4097134ff3c332f xmlns="834c7a77-a186-4b33-ad65-f5fdf95755b4">
      <Terms xmlns="http://schemas.microsoft.com/office/infopath/2007/PartnerControls"/>
    </lcf76f155ced4ddcb4097134ff3c332f>
    <_dlc_DocIdUrl xmlns="b3144a11-e500-4ade-8fe4-7de3e8b2f8df">
      <Url>https://europeantrainingfoundation.sharepoint.com/sites/PAU/_layouts/15/DocIdRedir.aspx?ID=DMSPOL-593052326-20986</Url>
      <Description>DMSPOL-593052326-20986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98DB7-1FC6-47D6-B28C-0BB211DC8851}">
  <ds:schemaRefs>
    <ds:schemaRef ds:uri="http://schemas.microsoft.com/sharepoint/v3/contenttype/forms"/>
  </ds:schemaRefs>
</ds:datastoreItem>
</file>

<file path=customXml/itemProps2.xml><?xml version="1.0" encoding="utf-8"?>
<ds:datastoreItem xmlns:ds="http://schemas.openxmlformats.org/officeDocument/2006/customXml" ds:itemID="{0CC6A574-BAB1-4D2E-94BA-926B3746440D}">
  <ds:schemaRefs>
    <ds:schemaRef ds:uri="http://schemas.microsoft.com/sharepoint/events"/>
  </ds:schemaRefs>
</ds:datastoreItem>
</file>

<file path=customXml/itemProps3.xml><?xml version="1.0" encoding="utf-8"?>
<ds:datastoreItem xmlns:ds="http://schemas.openxmlformats.org/officeDocument/2006/customXml" ds:itemID="{3993E69A-EA7B-4991-9D3F-8A74ADC1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c7a77-a186-4b33-ad65-f5fdf95755b4"/>
    <ds:schemaRef ds:uri="b3144a11-e500-4ade-8fe4-7de3e8b2f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1CFCD-8B3C-4D39-A921-0759B62C7B51}">
  <ds:schemaRefs>
    <ds:schemaRef ds:uri="http://schemas.microsoft.com/office/2006/metadata/properties"/>
    <ds:schemaRef ds:uri="http://schemas.microsoft.com/office/infopath/2007/PartnerControls"/>
    <ds:schemaRef ds:uri="b3144a11-e500-4ade-8fe4-7de3e8b2f8df"/>
    <ds:schemaRef ds:uri="834c7a77-a186-4b33-ad65-f5fdf95755b4"/>
  </ds:schemaRefs>
</ds:datastoreItem>
</file>

<file path=customXml/itemProps5.xml><?xml version="1.0" encoding="utf-8"?>
<ds:datastoreItem xmlns:ds="http://schemas.openxmlformats.org/officeDocument/2006/customXml" ds:itemID="{C3BA2972-0A6E-4C24-B49E-82EC5D5A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 Portrait.dotm</Template>
  <TotalTime>0</TotalTime>
  <Pages>4</Pages>
  <Words>851</Words>
  <Characters>6452</Characters>
  <Application>Microsoft Office Word</Application>
  <DocSecurity>0</DocSecurity>
  <Lines>268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Johnson (ETF)</dc:creator>
  <cp:keywords/>
  <dc:description/>
  <cp:lastModifiedBy>Microsoft account</cp:lastModifiedBy>
  <cp:revision>9</cp:revision>
  <dcterms:created xsi:type="dcterms:W3CDTF">2026-05-04T07:36:00Z</dcterms:created>
  <dcterms:modified xsi:type="dcterms:W3CDTF">2026-05-05T11:21:00Z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adyForAresTag">
    <vt:lpwstr>Yes</vt:lpwstr>
  </property>
  <property fmtid="{D5CDD505-2E9C-101B-9397-08002B2CF9AE}" pid="3" name="ContentTypeId">
    <vt:lpwstr>0x010100C45B698B556D0B4C9502A5ACF2AED6A9</vt:lpwstr>
  </property>
  <property fmtid="{D5CDD505-2E9C-101B-9397-08002B2CF9AE}" pid="4" name="_dlc_DocIdItemGuid">
    <vt:lpwstr>164b1fb1-61bc-42a3-8c52-6d26cef371cb</vt:lpwstr>
  </property>
  <property fmtid="{D5CDD505-2E9C-101B-9397-08002B2CF9AE}" pid="5" name="MediaServiceImageTags">
    <vt:lpwstr/>
  </property>
</Properties>
</file>