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EB71" w14:textId="47310CB4" w:rsidR="002A102D" w:rsidRPr="000E73CA" w:rsidRDefault="00BC723B" w:rsidP="000B2428">
      <w:pPr>
        <w:pStyle w:val="Heading1"/>
        <w:spacing w:after="0"/>
        <w:rPr>
          <w:rFonts w:asciiTheme="majorHAnsi" w:eastAsiaTheme="majorEastAsia" w:hAnsiTheme="majorHAnsi" w:cstheme="majorBidi"/>
          <w:b w:val="0"/>
          <w:bCs w:val="0"/>
          <w:color w:val="00495D" w:themeColor="text2" w:themeShade="80"/>
          <w:kern w:val="2"/>
          <w:sz w:val="40"/>
          <w:szCs w:val="40"/>
          <w14:ligatures w14:val="standardContextual"/>
        </w:rPr>
      </w:pPr>
      <w:r w:rsidRPr="000E73CA">
        <w:rPr>
          <w:rFonts w:asciiTheme="majorHAnsi" w:eastAsiaTheme="majorEastAsia" w:hAnsiTheme="majorHAnsi" w:cstheme="majorBidi"/>
          <w:b w:val="0"/>
          <w:bCs w:val="0"/>
          <w:color w:val="00495D" w:themeColor="text2" w:themeShade="80"/>
          <w:kern w:val="2"/>
          <w:sz w:val="40"/>
          <w:szCs w:val="40"/>
          <w14:ligatures w14:val="standardContextual"/>
        </w:rPr>
        <w:t>Case Study 3 - Sanovia in Action</w:t>
      </w:r>
    </w:p>
    <w:p w14:paraId="2EAD56B9" w14:textId="7B033500" w:rsidR="00575BB8" w:rsidRPr="00096994" w:rsidRDefault="00BC723B" w:rsidP="00FA6B10">
      <w:pPr>
        <w:pStyle w:val="Heading3"/>
        <w:rPr>
          <w:color w:val="auto"/>
          <w:lang w:val="en-GB"/>
        </w:rPr>
      </w:pPr>
      <w:r w:rsidRPr="00096994">
        <w:rPr>
          <w:color w:val="auto"/>
          <w:lang w:val="en-GB"/>
        </w:rPr>
        <w:t>Context</w:t>
      </w:r>
    </w:p>
    <w:p w14:paraId="5873A24A" w14:textId="77777777" w:rsidR="00FA6B10" w:rsidRPr="00096994" w:rsidRDefault="00FA6B10" w:rsidP="00FA6B10">
      <w:pPr>
        <w:pStyle w:val="Heading3"/>
        <w:rPr>
          <w:b w:val="0"/>
          <w:bCs w:val="0"/>
          <w:color w:val="auto"/>
          <w:sz w:val="22"/>
          <w:szCs w:val="24"/>
          <w:lang w:val="en-GB"/>
        </w:rPr>
      </w:pPr>
      <w:r w:rsidRPr="00096994">
        <w:rPr>
          <w:b w:val="0"/>
          <w:bCs w:val="0"/>
          <w:color w:val="auto"/>
          <w:sz w:val="22"/>
          <w:szCs w:val="24"/>
          <w:lang w:val="en-GB"/>
        </w:rPr>
        <w:t>Sanovia is a politically decentralised, small size country (Population 7mln) emerging from internal conflict in the late 1990s. Its governance is shaped by a delicate balance between national and regional authorities. Education is managed through 15 regional ministries, each with strong autonomy over curricula, financing, and system organisation, while the central ministry plays primarily a coordinating role with limited enforcement power.</w:t>
      </w:r>
    </w:p>
    <w:p w14:paraId="6725CD44" w14:textId="77777777" w:rsidR="00FA6B10" w:rsidRPr="00096994" w:rsidRDefault="00FA6B10" w:rsidP="00FA6B10">
      <w:pPr>
        <w:pStyle w:val="Heading3"/>
        <w:rPr>
          <w:b w:val="0"/>
          <w:bCs w:val="0"/>
          <w:color w:val="auto"/>
          <w:sz w:val="22"/>
          <w:szCs w:val="24"/>
          <w:lang w:val="en-GB"/>
        </w:rPr>
      </w:pPr>
      <w:r w:rsidRPr="00096994">
        <w:rPr>
          <w:b w:val="0"/>
          <w:bCs w:val="0"/>
          <w:color w:val="auto"/>
          <w:sz w:val="22"/>
          <w:szCs w:val="24"/>
          <w:lang w:val="en-GB"/>
        </w:rPr>
        <w:t>By the early 2010s, concerns about system performance became increasingly visible. Participation in international assessments showed average student results around 32% points lower, significantly below international benchmarks, with more than half of students not reaching basic proficiency levels. At the same time, structural disparities persisted across the system. In several regions, dropout rates reached 60–70%, particularly among disadvantaged groups. While access to primary education was nearly universal, progression and completion at higher levels remained uneven.</w:t>
      </w:r>
    </w:p>
    <w:p w14:paraId="3040A87C" w14:textId="77777777" w:rsidR="00FA6B10" w:rsidRPr="00096994" w:rsidRDefault="00FA6B10" w:rsidP="00FA6B10">
      <w:pPr>
        <w:pStyle w:val="Heading3"/>
        <w:rPr>
          <w:b w:val="0"/>
          <w:bCs w:val="0"/>
          <w:color w:val="auto"/>
          <w:sz w:val="22"/>
          <w:szCs w:val="24"/>
          <w:lang w:val="en-GB"/>
        </w:rPr>
      </w:pPr>
      <w:r w:rsidRPr="00096994">
        <w:rPr>
          <w:b w:val="0"/>
          <w:bCs w:val="0"/>
          <w:color w:val="auto"/>
          <w:sz w:val="22"/>
          <w:szCs w:val="24"/>
          <w:lang w:val="en-GB"/>
        </w:rPr>
        <w:t>Labour market signals reinforced these concerns. Youth unemployment exceeded 25%, and employers reported difficulties in finding adequately skilled workers. Many graduates entered fields with limited demand, while sectors requiring technical skills struggled to attract qualified candidates.</w:t>
      </w:r>
    </w:p>
    <w:p w14:paraId="3B8C5D69" w14:textId="77777777" w:rsidR="00FA6B10" w:rsidRPr="00096994" w:rsidRDefault="00FA6B10" w:rsidP="00FA6B10">
      <w:pPr>
        <w:pStyle w:val="Heading3"/>
        <w:rPr>
          <w:b w:val="0"/>
          <w:bCs w:val="0"/>
          <w:color w:val="auto"/>
          <w:sz w:val="22"/>
          <w:szCs w:val="24"/>
          <w:lang w:val="en-GB"/>
        </w:rPr>
      </w:pPr>
      <w:r w:rsidRPr="00096994">
        <w:rPr>
          <w:b w:val="0"/>
          <w:bCs w:val="0"/>
          <w:color w:val="auto"/>
          <w:sz w:val="22"/>
          <w:szCs w:val="24"/>
          <w:lang w:val="en-GB"/>
        </w:rPr>
        <w:t>These challenges became central in public and political debate, increasingly linking education performance to economic development and social stability.</w:t>
      </w:r>
    </w:p>
    <w:p w14:paraId="12E8601C" w14:textId="77777777" w:rsidR="00FA6B10" w:rsidRPr="00096994" w:rsidRDefault="00FA6B10" w:rsidP="00FA6B10">
      <w:pPr>
        <w:pStyle w:val="Heading3"/>
        <w:rPr>
          <w:b w:val="0"/>
          <w:bCs w:val="0"/>
          <w:color w:val="auto"/>
          <w:sz w:val="22"/>
          <w:szCs w:val="24"/>
          <w:lang w:val="en-GB"/>
        </w:rPr>
      </w:pPr>
      <w:r w:rsidRPr="00096994">
        <w:rPr>
          <w:b w:val="0"/>
          <w:bCs w:val="0"/>
          <w:color w:val="auto"/>
          <w:sz w:val="22"/>
          <w:szCs w:val="24"/>
          <w:lang w:val="en-GB"/>
        </w:rPr>
        <w:t>In response, Sanovia launched a comprehensive education reform strategy for 2012–2020, developed over two years and involving a wide range of actors, including national and regional authorities, employers, and international partners.</w:t>
      </w:r>
    </w:p>
    <w:p w14:paraId="77BBD947" w14:textId="77777777" w:rsidR="00FA6B10" w:rsidRPr="00096994" w:rsidRDefault="00FA6B10" w:rsidP="00FA6B10">
      <w:pPr>
        <w:pStyle w:val="Heading3"/>
        <w:rPr>
          <w:b w:val="0"/>
          <w:bCs w:val="0"/>
          <w:color w:val="auto"/>
          <w:sz w:val="22"/>
          <w:szCs w:val="24"/>
          <w:lang w:val="en-GB"/>
        </w:rPr>
      </w:pPr>
      <w:r w:rsidRPr="00096994">
        <w:rPr>
          <w:b w:val="0"/>
          <w:bCs w:val="0"/>
          <w:color w:val="auto"/>
          <w:sz w:val="22"/>
          <w:szCs w:val="24"/>
          <w:lang w:val="en-GB"/>
        </w:rPr>
        <w:t>The process brought together different perspectives:</w:t>
      </w:r>
    </w:p>
    <w:p w14:paraId="7C8B6117" w14:textId="4CCAA93A" w:rsidR="00FA6B10" w:rsidRPr="00096994" w:rsidRDefault="00FA6B10" w:rsidP="00FA6B10">
      <w:pPr>
        <w:pStyle w:val="BodyText"/>
        <w:numPr>
          <w:ilvl w:val="0"/>
          <w:numId w:val="30"/>
        </w:numPr>
        <w:rPr>
          <w:color w:val="auto"/>
          <w:sz w:val="22"/>
          <w:szCs w:val="24"/>
        </w:rPr>
      </w:pPr>
      <w:r w:rsidRPr="00096994">
        <w:rPr>
          <w:color w:val="auto"/>
          <w:sz w:val="22"/>
          <w:szCs w:val="24"/>
        </w:rPr>
        <w:t>Regional actors emphasised autonomy and contextual adaptation</w:t>
      </w:r>
    </w:p>
    <w:p w14:paraId="0A18A991" w14:textId="6A63C5CD" w:rsidR="00FA6B10" w:rsidRPr="00096994" w:rsidRDefault="00FA6B10" w:rsidP="00FA6B10">
      <w:pPr>
        <w:pStyle w:val="BodyText"/>
        <w:numPr>
          <w:ilvl w:val="0"/>
          <w:numId w:val="30"/>
        </w:numPr>
        <w:rPr>
          <w:color w:val="auto"/>
          <w:sz w:val="22"/>
          <w:szCs w:val="24"/>
        </w:rPr>
      </w:pPr>
      <w:r w:rsidRPr="00096994">
        <w:rPr>
          <w:color w:val="auto"/>
          <w:sz w:val="22"/>
          <w:szCs w:val="24"/>
        </w:rPr>
        <w:t>National authorities sought greater system coherence</w:t>
      </w:r>
    </w:p>
    <w:p w14:paraId="6F2DDD0A" w14:textId="10A83C44" w:rsidR="00FA6B10" w:rsidRPr="00096994" w:rsidRDefault="00FA6B10" w:rsidP="00FA6B10">
      <w:pPr>
        <w:pStyle w:val="BodyText"/>
        <w:numPr>
          <w:ilvl w:val="0"/>
          <w:numId w:val="30"/>
        </w:numPr>
        <w:rPr>
          <w:color w:val="auto"/>
          <w:sz w:val="22"/>
          <w:szCs w:val="24"/>
        </w:rPr>
      </w:pPr>
      <w:r w:rsidRPr="00096994">
        <w:rPr>
          <w:color w:val="auto"/>
          <w:sz w:val="22"/>
          <w:szCs w:val="24"/>
        </w:rPr>
        <w:t>International partners promoted models linked to labour market relevance</w:t>
      </w:r>
    </w:p>
    <w:p w14:paraId="2BE0A1C4" w14:textId="77777777" w:rsidR="00FA6B10" w:rsidRPr="00096994" w:rsidRDefault="00FA6B10" w:rsidP="00FA6B10">
      <w:pPr>
        <w:pStyle w:val="Heading3"/>
        <w:rPr>
          <w:b w:val="0"/>
          <w:bCs w:val="0"/>
          <w:color w:val="auto"/>
          <w:sz w:val="22"/>
          <w:szCs w:val="24"/>
          <w:lang w:val="en-GB"/>
        </w:rPr>
      </w:pPr>
      <w:r w:rsidRPr="00096994">
        <w:rPr>
          <w:b w:val="0"/>
          <w:bCs w:val="0"/>
          <w:color w:val="auto"/>
          <w:sz w:val="22"/>
          <w:szCs w:val="24"/>
          <w:lang w:val="en-GB"/>
        </w:rPr>
        <w:t>The resulting strategy reflected these multiple influences. It was broad in scope, covering all levels of education, and was presented politically as a transformational reform aimed at improving economic competitiveness and aligning with international standards.</w:t>
      </w:r>
    </w:p>
    <w:p w14:paraId="1EAACCE3" w14:textId="4135E00A" w:rsidR="000B2428" w:rsidRPr="00096994" w:rsidRDefault="000B2428" w:rsidP="00FA6B10">
      <w:pPr>
        <w:pStyle w:val="Heading3"/>
        <w:rPr>
          <w:color w:val="auto"/>
          <w:lang w:val="en-GB"/>
        </w:rPr>
      </w:pPr>
      <w:r w:rsidRPr="00096994">
        <w:rPr>
          <w:color w:val="auto"/>
          <w:lang w:val="en-GB"/>
        </w:rPr>
        <w:t>Reform priorities</w:t>
      </w:r>
    </w:p>
    <w:p w14:paraId="624E61EE" w14:textId="77777777" w:rsidR="00FA6B10" w:rsidRPr="00096994" w:rsidRDefault="00FA6B10" w:rsidP="00FA6B10">
      <w:pPr>
        <w:pStyle w:val="BodyText"/>
        <w:rPr>
          <w:color w:val="auto"/>
          <w:sz w:val="22"/>
          <w:szCs w:val="24"/>
        </w:rPr>
      </w:pPr>
      <w:r w:rsidRPr="00096994">
        <w:rPr>
          <w:color w:val="auto"/>
          <w:sz w:val="22"/>
          <w:szCs w:val="24"/>
        </w:rPr>
        <w:t>The reform outlined several key priorities:</w:t>
      </w:r>
    </w:p>
    <w:p w14:paraId="740FDB26" w14:textId="77777777" w:rsidR="00FA6B10" w:rsidRPr="00096994" w:rsidRDefault="00FA6B10" w:rsidP="00FA6B10">
      <w:pPr>
        <w:pStyle w:val="BodyText"/>
        <w:numPr>
          <w:ilvl w:val="0"/>
          <w:numId w:val="31"/>
        </w:numPr>
        <w:rPr>
          <w:color w:val="auto"/>
          <w:sz w:val="22"/>
          <w:szCs w:val="24"/>
        </w:rPr>
      </w:pPr>
      <w:r w:rsidRPr="00096994">
        <w:rPr>
          <w:color w:val="auto"/>
          <w:sz w:val="22"/>
          <w:szCs w:val="24"/>
        </w:rPr>
        <w:t>Harmonising curricula across regions</w:t>
      </w:r>
    </w:p>
    <w:p w14:paraId="1F572C08" w14:textId="77777777" w:rsidR="00FA6B10" w:rsidRPr="00096994" w:rsidRDefault="00FA6B10" w:rsidP="00FA6B10">
      <w:pPr>
        <w:pStyle w:val="BodyText"/>
        <w:numPr>
          <w:ilvl w:val="0"/>
          <w:numId w:val="31"/>
        </w:numPr>
        <w:rPr>
          <w:color w:val="auto"/>
          <w:sz w:val="22"/>
          <w:szCs w:val="24"/>
        </w:rPr>
      </w:pPr>
      <w:r w:rsidRPr="00096994">
        <w:rPr>
          <w:color w:val="auto"/>
          <w:sz w:val="22"/>
          <w:szCs w:val="24"/>
        </w:rPr>
        <w:t>Expanding dual and work-based learning</w:t>
      </w:r>
    </w:p>
    <w:p w14:paraId="6E40DFAF" w14:textId="77777777" w:rsidR="00FA6B10" w:rsidRPr="00096994" w:rsidRDefault="00FA6B10" w:rsidP="00FA6B10">
      <w:pPr>
        <w:pStyle w:val="BodyText"/>
        <w:numPr>
          <w:ilvl w:val="0"/>
          <w:numId w:val="31"/>
        </w:numPr>
        <w:rPr>
          <w:color w:val="auto"/>
          <w:sz w:val="22"/>
          <w:szCs w:val="24"/>
        </w:rPr>
      </w:pPr>
      <w:r w:rsidRPr="00096994">
        <w:rPr>
          <w:color w:val="auto"/>
          <w:sz w:val="22"/>
          <w:szCs w:val="24"/>
        </w:rPr>
        <w:t>Improving teacher quality</w:t>
      </w:r>
    </w:p>
    <w:p w14:paraId="49D21FEE" w14:textId="77777777" w:rsidR="00FA6B10" w:rsidRPr="00096994" w:rsidRDefault="00FA6B10" w:rsidP="00FA6B10">
      <w:pPr>
        <w:pStyle w:val="BodyText"/>
        <w:numPr>
          <w:ilvl w:val="0"/>
          <w:numId w:val="31"/>
        </w:numPr>
        <w:rPr>
          <w:color w:val="auto"/>
          <w:sz w:val="22"/>
          <w:szCs w:val="24"/>
        </w:rPr>
      </w:pPr>
      <w:r w:rsidRPr="00096994">
        <w:rPr>
          <w:color w:val="auto"/>
          <w:sz w:val="22"/>
          <w:szCs w:val="24"/>
        </w:rPr>
        <w:lastRenderedPageBreak/>
        <w:t xml:space="preserve">Increasing accessibility </w:t>
      </w:r>
    </w:p>
    <w:p w14:paraId="1D1FC1E8" w14:textId="77777777" w:rsidR="00FA6B10" w:rsidRPr="00096994" w:rsidRDefault="00FA6B10" w:rsidP="00FA6B10">
      <w:pPr>
        <w:pStyle w:val="BodyText"/>
        <w:numPr>
          <w:ilvl w:val="0"/>
          <w:numId w:val="31"/>
        </w:numPr>
        <w:rPr>
          <w:color w:val="auto"/>
          <w:sz w:val="22"/>
          <w:szCs w:val="24"/>
        </w:rPr>
      </w:pPr>
      <w:r w:rsidRPr="00096994">
        <w:rPr>
          <w:color w:val="auto"/>
          <w:sz w:val="22"/>
          <w:szCs w:val="24"/>
        </w:rPr>
        <w:t>Strengthening private sector engagement</w:t>
      </w:r>
    </w:p>
    <w:p w14:paraId="665EAFF4" w14:textId="77777777" w:rsidR="00FA6B10" w:rsidRPr="00096994" w:rsidRDefault="00FA6B10" w:rsidP="00FA6B10">
      <w:pPr>
        <w:pStyle w:val="BodyText"/>
        <w:numPr>
          <w:ilvl w:val="0"/>
          <w:numId w:val="31"/>
        </w:numPr>
        <w:rPr>
          <w:color w:val="auto"/>
          <w:sz w:val="22"/>
          <w:szCs w:val="24"/>
        </w:rPr>
      </w:pPr>
      <w:r w:rsidRPr="00096994">
        <w:rPr>
          <w:color w:val="auto"/>
          <w:sz w:val="22"/>
          <w:szCs w:val="24"/>
        </w:rPr>
        <w:t xml:space="preserve">Introduction of the regional </w:t>
      </w:r>
      <w:proofErr w:type="spellStart"/>
      <w:r w:rsidRPr="00096994">
        <w:rPr>
          <w:color w:val="auto"/>
          <w:sz w:val="22"/>
          <w:szCs w:val="24"/>
        </w:rPr>
        <w:t>CoVEs</w:t>
      </w:r>
      <w:proofErr w:type="spellEnd"/>
      <w:r w:rsidRPr="00096994">
        <w:rPr>
          <w:color w:val="auto"/>
          <w:sz w:val="22"/>
          <w:szCs w:val="24"/>
        </w:rPr>
        <w:t xml:space="preserve"> as hub </w:t>
      </w:r>
      <w:proofErr w:type="spellStart"/>
      <w:r w:rsidRPr="00096994">
        <w:rPr>
          <w:color w:val="auto"/>
          <w:sz w:val="22"/>
          <w:szCs w:val="24"/>
        </w:rPr>
        <w:t>centers</w:t>
      </w:r>
      <w:proofErr w:type="spellEnd"/>
    </w:p>
    <w:p w14:paraId="59911934" w14:textId="77777777" w:rsidR="00FA6B10" w:rsidRPr="00096994" w:rsidRDefault="00FA6B10" w:rsidP="00FA6B10">
      <w:pPr>
        <w:pStyle w:val="BodyText"/>
        <w:numPr>
          <w:ilvl w:val="0"/>
          <w:numId w:val="31"/>
        </w:numPr>
        <w:rPr>
          <w:color w:val="auto"/>
          <w:sz w:val="22"/>
          <w:szCs w:val="24"/>
        </w:rPr>
      </w:pPr>
      <w:r w:rsidRPr="00096994">
        <w:rPr>
          <w:color w:val="auto"/>
          <w:sz w:val="22"/>
          <w:szCs w:val="24"/>
        </w:rPr>
        <w:t>Strengthening governance and system management</w:t>
      </w:r>
    </w:p>
    <w:p w14:paraId="2E80B982" w14:textId="77777777" w:rsidR="00FA6B10" w:rsidRPr="00096994" w:rsidRDefault="00FA6B10" w:rsidP="00FA6B10">
      <w:pPr>
        <w:pStyle w:val="BodyText"/>
        <w:numPr>
          <w:ilvl w:val="0"/>
          <w:numId w:val="31"/>
        </w:numPr>
        <w:rPr>
          <w:color w:val="auto"/>
          <w:sz w:val="22"/>
          <w:szCs w:val="24"/>
        </w:rPr>
      </w:pPr>
      <w:r w:rsidRPr="00096994">
        <w:rPr>
          <w:color w:val="auto"/>
          <w:sz w:val="22"/>
          <w:szCs w:val="24"/>
        </w:rPr>
        <w:t>Investing in infrastructure and equipment</w:t>
      </w:r>
    </w:p>
    <w:p w14:paraId="1B596CFF" w14:textId="77777777" w:rsidR="00FA6B10" w:rsidRPr="00096994" w:rsidRDefault="00FA6B10" w:rsidP="00FA6B10">
      <w:pPr>
        <w:pStyle w:val="BodyText"/>
        <w:rPr>
          <w:color w:val="auto"/>
          <w:sz w:val="22"/>
          <w:szCs w:val="24"/>
        </w:rPr>
      </w:pPr>
      <w:r w:rsidRPr="00096994">
        <w:rPr>
          <w:color w:val="auto"/>
          <w:sz w:val="22"/>
          <w:szCs w:val="24"/>
        </w:rPr>
        <w:t>A structured framework of objectives, outcomes, and indicators was included, alongside monitoring mechanisms involving multiple institutions.</w:t>
      </w:r>
    </w:p>
    <w:p w14:paraId="50B73206" w14:textId="77777777" w:rsidR="00FA6B10" w:rsidRPr="00096994" w:rsidRDefault="00FA6B10" w:rsidP="00FA6B10">
      <w:pPr>
        <w:pStyle w:val="BodyText"/>
        <w:rPr>
          <w:color w:val="auto"/>
          <w:sz w:val="22"/>
          <w:szCs w:val="24"/>
        </w:rPr>
      </w:pPr>
      <w:r w:rsidRPr="00096994">
        <w:rPr>
          <w:color w:val="auto"/>
          <w:sz w:val="22"/>
          <w:szCs w:val="24"/>
        </w:rPr>
        <w:t>In practice, emphasis was made:</w:t>
      </w:r>
    </w:p>
    <w:p w14:paraId="1F0703A6" w14:textId="6EEAFC31" w:rsidR="00FA6B10" w:rsidRPr="00096994" w:rsidRDefault="00FA6B10" w:rsidP="00FA6B10">
      <w:pPr>
        <w:pStyle w:val="BodyText"/>
        <w:numPr>
          <w:ilvl w:val="0"/>
          <w:numId w:val="32"/>
        </w:numPr>
        <w:rPr>
          <w:color w:val="auto"/>
          <w:sz w:val="22"/>
          <w:szCs w:val="24"/>
        </w:rPr>
      </w:pPr>
      <w:r w:rsidRPr="00096994">
        <w:rPr>
          <w:color w:val="auto"/>
          <w:sz w:val="22"/>
          <w:szCs w:val="24"/>
        </w:rPr>
        <w:t>focus on infrastructure expansion</w:t>
      </w:r>
    </w:p>
    <w:p w14:paraId="2F853DAC" w14:textId="7CE28CFA" w:rsidR="000B2428" w:rsidRPr="00096994" w:rsidRDefault="000B2428" w:rsidP="000B2428">
      <w:pPr>
        <w:pStyle w:val="Heading3"/>
        <w:rPr>
          <w:color w:val="auto"/>
          <w:lang w:val="en-GB"/>
        </w:rPr>
      </w:pPr>
      <w:r w:rsidRPr="00096994">
        <w:rPr>
          <w:color w:val="auto"/>
          <w:lang w:val="en-GB"/>
        </w:rPr>
        <w:t>Financing the reform</w:t>
      </w:r>
    </w:p>
    <w:p w14:paraId="3D6B4018" w14:textId="77777777" w:rsidR="00FA6B10" w:rsidRPr="00096994" w:rsidRDefault="00FA6B10" w:rsidP="00FA6B10">
      <w:pPr>
        <w:pStyle w:val="BodyText"/>
        <w:rPr>
          <w:color w:val="auto"/>
          <w:sz w:val="22"/>
          <w:szCs w:val="24"/>
        </w:rPr>
      </w:pPr>
      <w:r w:rsidRPr="00096994">
        <w:rPr>
          <w:color w:val="auto"/>
          <w:sz w:val="22"/>
          <w:szCs w:val="24"/>
        </w:rPr>
        <w:t>The strategy was supported by an estimated €4 billion budget, combining national, regional, and international funding sources. Additional mechanisms were introduced to support implementation, including incentives for employer participation and externally funded pilot initiatives.</w:t>
      </w:r>
    </w:p>
    <w:p w14:paraId="48556037" w14:textId="798BA6AE" w:rsidR="000B2428" w:rsidRPr="00096994" w:rsidRDefault="000B2428" w:rsidP="000B2428">
      <w:pPr>
        <w:pStyle w:val="Heading3"/>
        <w:rPr>
          <w:color w:val="auto"/>
          <w:lang w:val="en-GB"/>
        </w:rPr>
      </w:pPr>
      <w:r w:rsidRPr="00096994">
        <w:rPr>
          <w:color w:val="auto"/>
          <w:lang w:val="en-GB"/>
        </w:rPr>
        <w:t>Early implementation experience</w:t>
      </w:r>
    </w:p>
    <w:p w14:paraId="5B83B7A3" w14:textId="77777777" w:rsidR="00FA6B10" w:rsidRPr="00096994" w:rsidRDefault="00FA6B10" w:rsidP="00FA6B10">
      <w:pPr>
        <w:pStyle w:val="BodyText"/>
        <w:rPr>
          <w:color w:val="auto"/>
          <w:sz w:val="22"/>
          <w:szCs w:val="24"/>
        </w:rPr>
      </w:pPr>
      <w:r w:rsidRPr="00096994">
        <w:rPr>
          <w:color w:val="auto"/>
          <w:sz w:val="22"/>
          <w:szCs w:val="24"/>
        </w:rPr>
        <w:t>During the initial years, the reform generated substantial activity:</w:t>
      </w:r>
    </w:p>
    <w:p w14:paraId="6728DE4D" w14:textId="77777777" w:rsidR="00FA6B10" w:rsidRPr="00096994" w:rsidRDefault="00FA6B10" w:rsidP="00FA6B10">
      <w:pPr>
        <w:pStyle w:val="BodyText"/>
        <w:numPr>
          <w:ilvl w:val="0"/>
          <w:numId w:val="32"/>
        </w:numPr>
        <w:rPr>
          <w:color w:val="auto"/>
          <w:sz w:val="22"/>
          <w:szCs w:val="24"/>
        </w:rPr>
      </w:pPr>
      <w:r w:rsidRPr="00096994">
        <w:rPr>
          <w:color w:val="auto"/>
          <w:sz w:val="22"/>
          <w:szCs w:val="24"/>
        </w:rPr>
        <w:t>New schools and facilities were built or upgraded</w:t>
      </w:r>
    </w:p>
    <w:p w14:paraId="25E51401" w14:textId="77777777" w:rsidR="00FA6B10" w:rsidRPr="00096994" w:rsidRDefault="00FA6B10" w:rsidP="00FA6B10">
      <w:pPr>
        <w:pStyle w:val="BodyText"/>
        <w:numPr>
          <w:ilvl w:val="0"/>
          <w:numId w:val="32"/>
        </w:numPr>
        <w:rPr>
          <w:color w:val="auto"/>
          <w:sz w:val="22"/>
          <w:szCs w:val="24"/>
        </w:rPr>
      </w:pPr>
      <w:r w:rsidRPr="00096994">
        <w:rPr>
          <w:color w:val="auto"/>
          <w:sz w:val="22"/>
          <w:szCs w:val="24"/>
        </w:rPr>
        <w:t>Pilot dual education programmes were launched and gradually expanded</w:t>
      </w:r>
    </w:p>
    <w:p w14:paraId="603D30A5" w14:textId="77777777" w:rsidR="00FA6B10" w:rsidRPr="00096994" w:rsidRDefault="00FA6B10" w:rsidP="00FA6B10">
      <w:pPr>
        <w:pStyle w:val="BodyText"/>
        <w:numPr>
          <w:ilvl w:val="0"/>
          <w:numId w:val="32"/>
        </w:numPr>
        <w:rPr>
          <w:color w:val="auto"/>
          <w:sz w:val="22"/>
          <w:szCs w:val="24"/>
        </w:rPr>
      </w:pPr>
      <w:r w:rsidRPr="00096994">
        <w:rPr>
          <w:color w:val="auto"/>
          <w:sz w:val="22"/>
          <w:szCs w:val="24"/>
        </w:rPr>
        <w:t>Teacher training initiatives were implemented</w:t>
      </w:r>
    </w:p>
    <w:p w14:paraId="1A4B883E" w14:textId="2A4B5882" w:rsidR="00FA6B10" w:rsidRPr="00096994" w:rsidRDefault="00FA6B10" w:rsidP="00FA6B10">
      <w:pPr>
        <w:pStyle w:val="BodyText"/>
        <w:rPr>
          <w:color w:val="auto"/>
          <w:sz w:val="22"/>
          <w:szCs w:val="24"/>
        </w:rPr>
      </w:pPr>
      <w:r w:rsidRPr="00096994">
        <w:rPr>
          <w:color w:val="auto"/>
          <w:sz w:val="22"/>
          <w:szCs w:val="24"/>
        </w:rPr>
        <w:t>Participation in new vocational models increased modestly, with expectations to</w:t>
      </w:r>
      <w:r w:rsidRPr="00096994">
        <w:rPr>
          <w:color w:val="auto"/>
          <w:sz w:val="22"/>
          <w:szCs w:val="24"/>
        </w:rPr>
        <w:t xml:space="preserve"> </w:t>
      </w:r>
      <w:r w:rsidRPr="00096994">
        <w:rPr>
          <w:b/>
          <w:bCs/>
          <w:color w:val="auto"/>
          <w:sz w:val="22"/>
          <w:szCs w:val="24"/>
        </w:rPr>
        <w:t>double participation levels over time</w:t>
      </w:r>
      <w:r w:rsidRPr="00096994">
        <w:rPr>
          <w:color w:val="auto"/>
          <w:sz w:val="22"/>
          <w:szCs w:val="24"/>
        </w:rPr>
        <w:t>.</w:t>
      </w:r>
    </w:p>
    <w:p w14:paraId="5EB66BB1" w14:textId="77777777" w:rsidR="00FA6B10" w:rsidRPr="00096994" w:rsidRDefault="00FA6B10" w:rsidP="00FA6B10">
      <w:pPr>
        <w:pStyle w:val="BodyText"/>
        <w:rPr>
          <w:color w:val="auto"/>
          <w:sz w:val="22"/>
          <w:szCs w:val="24"/>
        </w:rPr>
      </w:pPr>
      <w:r w:rsidRPr="00096994">
        <w:rPr>
          <w:color w:val="auto"/>
          <w:sz w:val="22"/>
          <w:szCs w:val="24"/>
        </w:rPr>
        <w:t>However, implementation dynamics varied significantly:</w:t>
      </w:r>
    </w:p>
    <w:p w14:paraId="174E55D9" w14:textId="77777777" w:rsidR="00FA6B10" w:rsidRPr="00096994" w:rsidRDefault="00FA6B10" w:rsidP="00FA6B10">
      <w:pPr>
        <w:pStyle w:val="BodyText"/>
        <w:numPr>
          <w:ilvl w:val="0"/>
          <w:numId w:val="33"/>
        </w:numPr>
        <w:rPr>
          <w:color w:val="auto"/>
          <w:sz w:val="22"/>
          <w:szCs w:val="24"/>
        </w:rPr>
      </w:pPr>
      <w:r w:rsidRPr="00096994">
        <w:rPr>
          <w:color w:val="auto"/>
          <w:sz w:val="22"/>
          <w:szCs w:val="24"/>
        </w:rPr>
        <w:t>Some regions prioritised infrastructure development</w:t>
      </w:r>
    </w:p>
    <w:p w14:paraId="33401291" w14:textId="77777777" w:rsidR="00FA6B10" w:rsidRPr="00096994" w:rsidRDefault="00FA6B10" w:rsidP="00FA6B10">
      <w:pPr>
        <w:pStyle w:val="BodyText"/>
        <w:numPr>
          <w:ilvl w:val="0"/>
          <w:numId w:val="33"/>
        </w:numPr>
        <w:rPr>
          <w:color w:val="auto"/>
          <w:sz w:val="22"/>
          <w:szCs w:val="24"/>
        </w:rPr>
      </w:pPr>
      <w:r w:rsidRPr="00096994">
        <w:rPr>
          <w:color w:val="auto"/>
          <w:sz w:val="22"/>
          <w:szCs w:val="24"/>
        </w:rPr>
        <w:t>Others focused on introducing new programmes</w:t>
      </w:r>
    </w:p>
    <w:p w14:paraId="3C150903" w14:textId="77777777" w:rsidR="00FA6B10" w:rsidRPr="00096994" w:rsidRDefault="00FA6B10" w:rsidP="00FA6B10">
      <w:pPr>
        <w:pStyle w:val="BodyText"/>
        <w:numPr>
          <w:ilvl w:val="0"/>
          <w:numId w:val="33"/>
        </w:numPr>
        <w:rPr>
          <w:color w:val="auto"/>
          <w:sz w:val="22"/>
          <w:szCs w:val="24"/>
        </w:rPr>
      </w:pPr>
      <w:r w:rsidRPr="00096994">
        <w:rPr>
          <w:color w:val="auto"/>
          <w:sz w:val="22"/>
          <w:szCs w:val="24"/>
        </w:rPr>
        <w:t>Implementation speed differed across regions</w:t>
      </w:r>
    </w:p>
    <w:p w14:paraId="0E0784BF" w14:textId="77777777" w:rsidR="00FA6B10" w:rsidRPr="00096994" w:rsidRDefault="00FA6B10" w:rsidP="00FA6B10">
      <w:pPr>
        <w:pStyle w:val="BodyText"/>
        <w:numPr>
          <w:ilvl w:val="0"/>
          <w:numId w:val="33"/>
        </w:numPr>
        <w:rPr>
          <w:color w:val="auto"/>
          <w:sz w:val="22"/>
          <w:szCs w:val="24"/>
        </w:rPr>
      </w:pPr>
      <w:r w:rsidRPr="00096994">
        <w:rPr>
          <w:color w:val="auto"/>
          <w:sz w:val="22"/>
          <w:szCs w:val="24"/>
        </w:rPr>
        <w:t xml:space="preserve">All donors involved and regions followed </w:t>
      </w:r>
      <w:proofErr w:type="spellStart"/>
      <w:proofErr w:type="gramStart"/>
      <w:r w:rsidRPr="00096994">
        <w:rPr>
          <w:color w:val="auto"/>
          <w:sz w:val="22"/>
          <w:szCs w:val="24"/>
        </w:rPr>
        <w:t>there</w:t>
      </w:r>
      <w:proofErr w:type="gramEnd"/>
      <w:r w:rsidRPr="00096994">
        <w:rPr>
          <w:color w:val="auto"/>
          <w:sz w:val="22"/>
          <w:szCs w:val="24"/>
        </w:rPr>
        <w:t xml:space="preserve"> own</w:t>
      </w:r>
      <w:proofErr w:type="spellEnd"/>
      <w:r w:rsidRPr="00096994">
        <w:rPr>
          <w:color w:val="auto"/>
          <w:sz w:val="22"/>
          <w:szCs w:val="24"/>
        </w:rPr>
        <w:t xml:space="preserve"> action plans </w:t>
      </w:r>
    </w:p>
    <w:p w14:paraId="517C3FE5" w14:textId="77777777" w:rsidR="00FA6B10" w:rsidRPr="00096994" w:rsidRDefault="00FA6B10" w:rsidP="00FA6B10">
      <w:pPr>
        <w:pStyle w:val="BodyText"/>
        <w:numPr>
          <w:ilvl w:val="0"/>
          <w:numId w:val="33"/>
        </w:numPr>
        <w:rPr>
          <w:color w:val="auto"/>
          <w:sz w:val="22"/>
          <w:szCs w:val="24"/>
        </w:rPr>
      </w:pPr>
      <w:r w:rsidRPr="00096994">
        <w:rPr>
          <w:color w:val="auto"/>
          <w:sz w:val="22"/>
          <w:szCs w:val="24"/>
        </w:rPr>
        <w:t>There was no coordination during the period, as government decided to be flexible and guided only by the logical framework and costed priority list (rough calculation)</w:t>
      </w:r>
    </w:p>
    <w:p w14:paraId="26AC09FC" w14:textId="77777777" w:rsidR="00FA6B10" w:rsidRPr="00096994" w:rsidRDefault="00FA6B10" w:rsidP="00FA6B10">
      <w:pPr>
        <w:pStyle w:val="BodyText"/>
        <w:numPr>
          <w:ilvl w:val="0"/>
          <w:numId w:val="33"/>
        </w:numPr>
        <w:rPr>
          <w:color w:val="auto"/>
          <w:sz w:val="22"/>
          <w:szCs w:val="24"/>
        </w:rPr>
      </w:pPr>
      <w:r w:rsidRPr="00096994">
        <w:rPr>
          <w:color w:val="auto"/>
          <w:sz w:val="22"/>
          <w:szCs w:val="24"/>
        </w:rPr>
        <w:t xml:space="preserve">Monitoring systems tracked implementation at the and, by checking all results whether achieved or not.  particularly in terms of activities completed and funds disbursed. </w:t>
      </w:r>
    </w:p>
    <w:p w14:paraId="3107E190" w14:textId="77777777" w:rsidR="00FA6B10" w:rsidRPr="00096994" w:rsidRDefault="00FA6B10" w:rsidP="00FA6B10">
      <w:pPr>
        <w:pStyle w:val="BodyText"/>
        <w:rPr>
          <w:color w:val="auto"/>
          <w:sz w:val="22"/>
          <w:szCs w:val="24"/>
        </w:rPr>
      </w:pPr>
      <w:r w:rsidRPr="00096994">
        <w:rPr>
          <w:color w:val="auto"/>
          <w:sz w:val="22"/>
          <w:szCs w:val="24"/>
        </w:rPr>
        <w:t xml:space="preserve">For some areas, esp. teacher CPD, overachievement was reported, but later, it was found out, that donor organisations indicated numbers which was also count by the ministry, causing misunderstandings for a while. </w:t>
      </w:r>
    </w:p>
    <w:p w14:paraId="16652310" w14:textId="77777777" w:rsidR="00FA6B10" w:rsidRPr="00096994" w:rsidRDefault="00FA6B10" w:rsidP="00FA6B10">
      <w:pPr>
        <w:pStyle w:val="BodyText"/>
        <w:rPr>
          <w:color w:val="auto"/>
          <w:sz w:val="22"/>
          <w:szCs w:val="24"/>
        </w:rPr>
      </w:pPr>
      <w:r w:rsidRPr="00096994">
        <w:rPr>
          <w:color w:val="auto"/>
          <w:sz w:val="22"/>
          <w:szCs w:val="24"/>
        </w:rPr>
        <w:t xml:space="preserve">Over time, stakeholders began to reflect more deeply on how the various components of the reform interacted, how responsibilities were exercised, and how resources were aligned with </w:t>
      </w:r>
      <w:r w:rsidRPr="00096994">
        <w:rPr>
          <w:color w:val="auto"/>
          <w:sz w:val="22"/>
          <w:szCs w:val="24"/>
        </w:rPr>
        <w:lastRenderedPageBreak/>
        <w:t xml:space="preserve">priorities. Especially interesting it was the debate, if we need to integrate the costs of dual education played by the enterprises. </w:t>
      </w:r>
    </w:p>
    <w:p w14:paraId="19427F16" w14:textId="03CAB8BB" w:rsidR="000B2428" w:rsidRPr="00096994" w:rsidRDefault="000B2428" w:rsidP="000B2428">
      <w:pPr>
        <w:pStyle w:val="Heading3"/>
        <w:rPr>
          <w:color w:val="auto"/>
        </w:rPr>
      </w:pPr>
      <w:r w:rsidRPr="00096994">
        <w:rPr>
          <w:color w:val="auto"/>
        </w:rPr>
        <w:t xml:space="preserve">5. </w:t>
      </w:r>
      <w:r w:rsidR="00FA6B10" w:rsidRPr="00096994">
        <w:rPr>
          <w:color w:val="auto"/>
        </w:rPr>
        <w:t>SANOVIA LOGICAL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7"/>
        <w:gridCol w:w="4346"/>
        <w:gridCol w:w="3161"/>
      </w:tblGrid>
      <w:tr w:rsidR="00FA6B10" w:rsidRPr="00096994" w14:paraId="025091C4"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70B10D2" w14:textId="77777777" w:rsidR="00FA6B10" w:rsidRPr="00096994" w:rsidRDefault="00FA6B10" w:rsidP="00FA6B10">
            <w:pPr>
              <w:pStyle w:val="TableFirstColumn"/>
              <w:rPr>
                <w:b/>
                <w:bCs w:val="0"/>
                <w:color w:val="auto"/>
                <w:sz w:val="22"/>
                <w:szCs w:val="32"/>
              </w:rPr>
            </w:pPr>
            <w:r w:rsidRPr="00096994">
              <w:rPr>
                <w:b/>
                <w:bCs w:val="0"/>
                <w:color w:val="auto"/>
                <w:sz w:val="22"/>
                <w:szCs w:val="32"/>
              </w:rPr>
              <w:t>Level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E911312" w14:textId="77777777" w:rsidR="00FA6B10" w:rsidRPr="00096994" w:rsidRDefault="00FA6B10" w:rsidP="00FA6B10">
            <w:pPr>
              <w:pStyle w:val="TableFirstColumn"/>
              <w:rPr>
                <w:b/>
                <w:bCs w:val="0"/>
                <w:color w:val="auto"/>
                <w:sz w:val="22"/>
                <w:szCs w:val="32"/>
              </w:rPr>
            </w:pPr>
            <w:r w:rsidRPr="00096994">
              <w:rPr>
                <w:b/>
                <w:bCs w:val="0"/>
                <w:color w:val="auto"/>
                <w:sz w:val="22"/>
                <w:szCs w:val="32"/>
              </w:rPr>
              <w:t>Description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9557A8" w14:textId="77777777" w:rsidR="00FA6B10" w:rsidRPr="00096994" w:rsidRDefault="00FA6B10" w:rsidP="00FA6B10">
            <w:pPr>
              <w:pStyle w:val="TableFirstColumn"/>
              <w:rPr>
                <w:b/>
                <w:bCs w:val="0"/>
                <w:color w:val="auto"/>
                <w:sz w:val="22"/>
                <w:szCs w:val="32"/>
              </w:rPr>
            </w:pPr>
            <w:r w:rsidRPr="00096994">
              <w:rPr>
                <w:b/>
                <w:bCs w:val="0"/>
                <w:color w:val="auto"/>
                <w:sz w:val="22"/>
                <w:szCs w:val="32"/>
              </w:rPr>
              <w:t>Indicators</w:t>
            </w:r>
          </w:p>
        </w:tc>
      </w:tr>
      <w:tr w:rsidR="00FA6B10" w:rsidRPr="00096994" w14:paraId="7B06C6B7"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F4B57D" w14:textId="77777777" w:rsidR="00FA6B10" w:rsidRPr="00096994" w:rsidRDefault="00FA6B10" w:rsidP="00F31C10">
            <w:pPr>
              <w:rPr>
                <w:b/>
                <w:bCs/>
              </w:rPr>
            </w:pPr>
            <w:r w:rsidRPr="00096994">
              <w:rPr>
                <w:b/>
                <w:bCs/>
              </w:rPr>
              <w:t>Impact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E3597A" w14:textId="77777777" w:rsidR="00FA6B10" w:rsidRPr="00096994" w:rsidRDefault="00FA6B10" w:rsidP="00FA6B10">
            <w:pPr>
              <w:pStyle w:val="TableText"/>
              <w:rPr>
                <w:color w:val="auto"/>
                <w:sz w:val="20"/>
                <w:szCs w:val="28"/>
              </w:rPr>
            </w:pPr>
            <w:r w:rsidRPr="00096994">
              <w:rPr>
                <w:color w:val="auto"/>
                <w:sz w:val="20"/>
                <w:szCs w:val="28"/>
              </w:rPr>
              <w:t>Improved human capital and economic development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EC585C" w14:textId="77777777" w:rsidR="00FA6B10" w:rsidRPr="00096994" w:rsidRDefault="00FA6B10" w:rsidP="00FA6B10">
            <w:pPr>
              <w:pStyle w:val="TableText"/>
              <w:rPr>
                <w:color w:val="auto"/>
                <w:sz w:val="20"/>
                <w:szCs w:val="28"/>
              </w:rPr>
            </w:pPr>
            <w:r w:rsidRPr="00096994">
              <w:rPr>
                <w:color w:val="auto"/>
                <w:sz w:val="20"/>
                <w:szCs w:val="28"/>
              </w:rPr>
              <w:t>GDP growth, employment rates, PISA scores</w:t>
            </w:r>
          </w:p>
        </w:tc>
      </w:tr>
      <w:tr w:rsidR="00FA6B10" w:rsidRPr="00096994" w14:paraId="010BB183"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E026014" w14:textId="77777777" w:rsidR="00FA6B10" w:rsidRPr="00096994" w:rsidRDefault="00FA6B10" w:rsidP="00F31C10">
            <w:pPr>
              <w:rPr>
                <w:b/>
                <w:bCs/>
              </w:rPr>
            </w:pPr>
            <w:r w:rsidRPr="00096994">
              <w:rPr>
                <w:b/>
                <w:bCs/>
              </w:rPr>
              <w:t>General objectives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2CB402" w14:textId="77777777" w:rsidR="00FA6B10" w:rsidRPr="00096994" w:rsidRDefault="00FA6B10" w:rsidP="00FA6B10">
            <w:pPr>
              <w:pStyle w:val="TableText"/>
              <w:rPr>
                <w:color w:val="auto"/>
                <w:sz w:val="20"/>
                <w:szCs w:val="28"/>
              </w:rPr>
            </w:pPr>
            <w:r w:rsidRPr="00096994">
              <w:rPr>
                <w:color w:val="auto"/>
                <w:sz w:val="20"/>
                <w:szCs w:val="28"/>
              </w:rPr>
              <w:t>Improve quality, equity, and labour market relevance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029B46" w14:textId="77777777" w:rsidR="00FA6B10" w:rsidRPr="00096994" w:rsidRDefault="00FA6B10" w:rsidP="00FA6B10">
            <w:pPr>
              <w:pStyle w:val="TableText"/>
              <w:rPr>
                <w:color w:val="auto"/>
                <w:sz w:val="20"/>
                <w:szCs w:val="28"/>
              </w:rPr>
            </w:pPr>
            <w:r w:rsidRPr="00096994">
              <w:rPr>
                <w:color w:val="auto"/>
                <w:sz w:val="20"/>
                <w:szCs w:val="28"/>
              </w:rPr>
              <w:t>Dropout rate, learning outcomes</w:t>
            </w:r>
          </w:p>
        </w:tc>
      </w:tr>
      <w:tr w:rsidR="00FA6B10" w:rsidRPr="00096994" w14:paraId="71D2CD97"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A5A357" w14:textId="77777777" w:rsidR="00FA6B10" w:rsidRPr="00096994" w:rsidRDefault="00FA6B10" w:rsidP="00F31C10">
            <w:pPr>
              <w:rPr>
                <w:b/>
                <w:bCs/>
              </w:rPr>
            </w:pPr>
            <w:r w:rsidRPr="00096994">
              <w:rPr>
                <w:b/>
                <w:bCs/>
              </w:rPr>
              <w:t>Specific objectives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7815A6" w14:textId="77777777" w:rsidR="00FA6B10" w:rsidRPr="00096994" w:rsidRDefault="00FA6B10" w:rsidP="00FA6B10">
            <w:pPr>
              <w:pStyle w:val="TableText"/>
              <w:rPr>
                <w:color w:val="auto"/>
                <w:sz w:val="20"/>
                <w:szCs w:val="28"/>
              </w:rPr>
            </w:pPr>
            <w:r w:rsidRPr="00096994">
              <w:rPr>
                <w:color w:val="auto"/>
                <w:sz w:val="20"/>
                <w:szCs w:val="28"/>
              </w:rPr>
              <w:t>Harmonisation, dual education expansion, governance improvement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E36CD4" w14:textId="77777777" w:rsidR="00FA6B10" w:rsidRPr="00096994" w:rsidRDefault="00FA6B10" w:rsidP="00FA6B10">
            <w:pPr>
              <w:pStyle w:val="TableText"/>
              <w:rPr>
                <w:color w:val="auto"/>
                <w:sz w:val="20"/>
                <w:szCs w:val="28"/>
              </w:rPr>
            </w:pPr>
            <w:r w:rsidRPr="00096994">
              <w:rPr>
                <w:color w:val="auto"/>
                <w:sz w:val="20"/>
                <w:szCs w:val="28"/>
              </w:rPr>
              <w:t>% aligned curricula, % dual participation</w:t>
            </w:r>
          </w:p>
        </w:tc>
      </w:tr>
      <w:tr w:rsidR="00FA6B10" w:rsidRPr="00096994" w14:paraId="0D789A13"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F260C1F" w14:textId="77777777" w:rsidR="00FA6B10" w:rsidRPr="00096994" w:rsidRDefault="00FA6B10" w:rsidP="00F31C10">
            <w:pPr>
              <w:rPr>
                <w:b/>
                <w:bCs/>
              </w:rPr>
            </w:pPr>
            <w:r w:rsidRPr="00096994">
              <w:rPr>
                <w:b/>
                <w:bCs/>
              </w:rPr>
              <w:t>Outcomes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ABDB40" w14:textId="77777777" w:rsidR="00FA6B10" w:rsidRPr="00096994" w:rsidRDefault="00FA6B10" w:rsidP="00FA6B10">
            <w:pPr>
              <w:pStyle w:val="TableText"/>
              <w:rPr>
                <w:color w:val="auto"/>
                <w:sz w:val="20"/>
                <w:szCs w:val="28"/>
              </w:rPr>
            </w:pPr>
            <w:r w:rsidRPr="00096994">
              <w:rPr>
                <w:color w:val="auto"/>
                <w:sz w:val="20"/>
                <w:szCs w:val="28"/>
              </w:rPr>
              <w:t>Curriculum convergence, stronger employer links, improved management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0705DC" w14:textId="77777777" w:rsidR="00FA6B10" w:rsidRPr="00096994" w:rsidRDefault="00FA6B10" w:rsidP="00FA6B10">
            <w:pPr>
              <w:pStyle w:val="TableText"/>
              <w:rPr>
                <w:color w:val="auto"/>
                <w:sz w:val="20"/>
                <w:szCs w:val="28"/>
              </w:rPr>
            </w:pPr>
            <w:r w:rsidRPr="00096994">
              <w:rPr>
                <w:color w:val="auto"/>
                <w:sz w:val="20"/>
                <w:szCs w:val="28"/>
              </w:rPr>
              <w:t>Employer participation rate, system alignment index</w:t>
            </w:r>
          </w:p>
        </w:tc>
      </w:tr>
      <w:tr w:rsidR="00FA6B10" w:rsidRPr="00096994" w14:paraId="2A4C0E18"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BB7383" w14:textId="77777777" w:rsidR="00FA6B10" w:rsidRPr="00096994" w:rsidRDefault="00FA6B10" w:rsidP="00F31C10">
            <w:pPr>
              <w:rPr>
                <w:b/>
                <w:bCs/>
              </w:rPr>
            </w:pPr>
            <w:r w:rsidRPr="00096994">
              <w:rPr>
                <w:b/>
                <w:bCs/>
              </w:rPr>
              <w:t>Outputs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4B53AA" w14:textId="77777777" w:rsidR="00FA6B10" w:rsidRPr="00096994" w:rsidRDefault="00FA6B10" w:rsidP="00FA6B10">
            <w:pPr>
              <w:pStyle w:val="TableText"/>
              <w:rPr>
                <w:color w:val="auto"/>
                <w:sz w:val="20"/>
                <w:szCs w:val="28"/>
              </w:rPr>
            </w:pPr>
            <w:r w:rsidRPr="00096994">
              <w:rPr>
                <w:color w:val="auto"/>
                <w:sz w:val="20"/>
                <w:szCs w:val="28"/>
              </w:rPr>
              <w:t>Training programmes, infrastructure, new curricula, VET programmes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D569E4" w14:textId="77777777" w:rsidR="00FA6B10" w:rsidRPr="00096994" w:rsidRDefault="00FA6B10" w:rsidP="00FA6B10">
            <w:pPr>
              <w:pStyle w:val="TableText"/>
              <w:rPr>
                <w:color w:val="auto"/>
                <w:sz w:val="20"/>
                <w:szCs w:val="28"/>
              </w:rPr>
            </w:pPr>
            <w:r w:rsidRPr="00096994">
              <w:rPr>
                <w:color w:val="auto"/>
                <w:sz w:val="20"/>
                <w:szCs w:val="28"/>
              </w:rPr>
              <w:t># teachers trained, # schools equipped</w:t>
            </w:r>
          </w:p>
        </w:tc>
      </w:tr>
      <w:tr w:rsidR="00FA6B10" w:rsidRPr="00096994" w14:paraId="58F08883" w14:textId="77777777" w:rsidTr="00F31C1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2C58663" w14:textId="77777777" w:rsidR="00FA6B10" w:rsidRPr="00096994" w:rsidRDefault="00FA6B10" w:rsidP="00F31C10">
            <w:pPr>
              <w:rPr>
                <w:b/>
                <w:bCs/>
              </w:rPr>
            </w:pPr>
            <w:r w:rsidRPr="00096994">
              <w:rPr>
                <w:b/>
                <w:bCs/>
              </w:rPr>
              <w:t>Activities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EC14B5F" w14:textId="77777777" w:rsidR="00FA6B10" w:rsidRPr="00096994" w:rsidRDefault="00FA6B10" w:rsidP="00FA6B10">
            <w:pPr>
              <w:pStyle w:val="TableText"/>
              <w:rPr>
                <w:color w:val="auto"/>
                <w:sz w:val="20"/>
                <w:szCs w:val="28"/>
              </w:rPr>
            </w:pPr>
            <w:r w:rsidRPr="00096994">
              <w:rPr>
                <w:color w:val="auto"/>
                <w:sz w:val="20"/>
                <w:szCs w:val="28"/>
              </w:rPr>
              <w:t>Reform implementation actions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755952" w14:textId="77777777" w:rsidR="00FA6B10" w:rsidRPr="00096994" w:rsidRDefault="00FA6B10" w:rsidP="00FA6B10">
            <w:pPr>
              <w:pStyle w:val="TableText"/>
              <w:rPr>
                <w:color w:val="auto"/>
                <w:sz w:val="20"/>
                <w:szCs w:val="28"/>
              </w:rPr>
            </w:pPr>
            <w:r w:rsidRPr="00096994">
              <w:rPr>
                <w:color w:val="auto"/>
                <w:sz w:val="20"/>
                <w:szCs w:val="28"/>
              </w:rPr>
              <w:t>Milestones achieved</w:t>
            </w:r>
          </w:p>
        </w:tc>
      </w:tr>
    </w:tbl>
    <w:p w14:paraId="01D4C498" w14:textId="0D326D12" w:rsidR="000B2428" w:rsidRPr="00096994" w:rsidRDefault="000B2428" w:rsidP="000B2428">
      <w:pPr>
        <w:pStyle w:val="Heading3"/>
        <w:rPr>
          <w:color w:val="auto"/>
        </w:rPr>
      </w:pPr>
      <w:r w:rsidRPr="00096994">
        <w:rPr>
          <w:color w:val="auto"/>
        </w:rPr>
        <w:t>Budget distribution</w:t>
      </w:r>
    </w:p>
    <w:tbl>
      <w:tblPr>
        <w:tblW w:w="8873" w:type="dxa"/>
        <w:tblCellSpacing w:w="15" w:type="dxa"/>
        <w:tblCellMar>
          <w:top w:w="15" w:type="dxa"/>
          <w:left w:w="15" w:type="dxa"/>
          <w:bottom w:w="15" w:type="dxa"/>
          <w:right w:w="15" w:type="dxa"/>
        </w:tblCellMar>
        <w:tblLook w:val="04A0" w:firstRow="1" w:lastRow="0" w:firstColumn="1" w:lastColumn="0" w:noHBand="0" w:noVBand="1"/>
      </w:tblPr>
      <w:tblGrid>
        <w:gridCol w:w="4458"/>
        <w:gridCol w:w="1743"/>
        <w:gridCol w:w="2672"/>
      </w:tblGrid>
      <w:tr w:rsidR="00FA6B10" w:rsidRPr="00096994" w14:paraId="47F9C7B9" w14:textId="77777777" w:rsidTr="00F31C10">
        <w:trPr>
          <w:trHeight w:val="495"/>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709A861" w14:textId="77777777" w:rsidR="00FA6B10" w:rsidRPr="00096994" w:rsidRDefault="00FA6B10" w:rsidP="00FA6B10">
            <w:pPr>
              <w:pStyle w:val="TableFirstColumn"/>
              <w:rPr>
                <w:b/>
                <w:bCs w:val="0"/>
                <w:color w:val="auto"/>
                <w:sz w:val="22"/>
                <w:szCs w:val="32"/>
              </w:rPr>
            </w:pPr>
            <w:r w:rsidRPr="00096994">
              <w:rPr>
                <w:b/>
                <w:bCs w:val="0"/>
                <w:color w:val="auto"/>
                <w:sz w:val="22"/>
                <w:szCs w:val="32"/>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8D550D" w14:textId="77777777" w:rsidR="00FA6B10" w:rsidRPr="00096994" w:rsidRDefault="00FA6B10" w:rsidP="00FA6B10">
            <w:pPr>
              <w:pStyle w:val="TableFirstColumn"/>
              <w:rPr>
                <w:b/>
                <w:bCs w:val="0"/>
                <w:color w:val="auto"/>
                <w:sz w:val="22"/>
                <w:szCs w:val="32"/>
              </w:rPr>
            </w:pPr>
            <w:r w:rsidRPr="00096994">
              <w:rPr>
                <w:b/>
                <w:bCs w:val="0"/>
                <w:color w:val="auto"/>
                <w:sz w:val="22"/>
                <w:szCs w:val="32"/>
              </w:rPr>
              <w:t>Planned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10495F6" w14:textId="77777777" w:rsidR="00FA6B10" w:rsidRPr="00096994" w:rsidRDefault="00FA6B10" w:rsidP="00FA6B10">
            <w:pPr>
              <w:pStyle w:val="TableFirstColumn"/>
              <w:rPr>
                <w:b/>
                <w:bCs w:val="0"/>
                <w:color w:val="auto"/>
                <w:sz w:val="22"/>
                <w:szCs w:val="32"/>
              </w:rPr>
            </w:pPr>
            <w:r w:rsidRPr="00096994">
              <w:rPr>
                <w:b/>
                <w:bCs w:val="0"/>
                <w:color w:val="auto"/>
                <w:sz w:val="22"/>
                <w:szCs w:val="32"/>
              </w:rPr>
              <w:t>Actual Trend</w:t>
            </w:r>
          </w:p>
        </w:tc>
      </w:tr>
      <w:tr w:rsidR="00FA6B10" w:rsidRPr="00096994" w14:paraId="50320FCA" w14:textId="77777777" w:rsidTr="00F31C10">
        <w:trPr>
          <w:trHeight w:val="49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6FD760" w14:textId="77777777" w:rsidR="00FA6B10" w:rsidRPr="00096994" w:rsidRDefault="00FA6B10" w:rsidP="00FA6B10">
            <w:pPr>
              <w:pStyle w:val="TableText"/>
              <w:rPr>
                <w:color w:val="auto"/>
                <w:sz w:val="22"/>
                <w:szCs w:val="32"/>
              </w:rPr>
            </w:pPr>
            <w:r w:rsidRPr="00096994">
              <w:rPr>
                <w:color w:val="auto"/>
                <w:sz w:val="22"/>
                <w:szCs w:val="32"/>
              </w:rPr>
              <w:t>Infrastructure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A66F8A" w14:textId="77777777" w:rsidR="00FA6B10" w:rsidRPr="00096994" w:rsidRDefault="00FA6B10" w:rsidP="00FA6B10">
            <w:pPr>
              <w:pStyle w:val="TableText"/>
              <w:rPr>
                <w:color w:val="auto"/>
                <w:sz w:val="22"/>
                <w:szCs w:val="32"/>
              </w:rPr>
            </w:pPr>
            <w:r w:rsidRPr="00096994">
              <w:rPr>
                <w:color w:val="auto"/>
                <w:sz w:val="22"/>
                <w:szCs w:val="32"/>
              </w:rPr>
              <w:t>30%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11F007" w14:textId="77777777" w:rsidR="00FA6B10" w:rsidRPr="00096994" w:rsidRDefault="00FA6B10" w:rsidP="00FA6B10">
            <w:pPr>
              <w:pStyle w:val="TableText"/>
              <w:rPr>
                <w:color w:val="auto"/>
                <w:sz w:val="22"/>
                <w:szCs w:val="32"/>
              </w:rPr>
            </w:pPr>
            <w:r w:rsidRPr="00096994">
              <w:rPr>
                <w:color w:val="auto"/>
                <w:sz w:val="22"/>
                <w:szCs w:val="32"/>
              </w:rPr>
              <w:t>~40%</w:t>
            </w:r>
          </w:p>
        </w:tc>
      </w:tr>
      <w:tr w:rsidR="00FA6B10" w:rsidRPr="00096994" w14:paraId="262FFA3C" w14:textId="77777777" w:rsidTr="00F31C10">
        <w:trPr>
          <w:trHeight w:val="49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B948AA8" w14:textId="77777777" w:rsidR="00FA6B10" w:rsidRPr="00096994" w:rsidRDefault="00FA6B10" w:rsidP="00FA6B10">
            <w:pPr>
              <w:pStyle w:val="TableText"/>
              <w:rPr>
                <w:color w:val="auto"/>
                <w:sz w:val="22"/>
                <w:szCs w:val="32"/>
              </w:rPr>
            </w:pPr>
            <w:r w:rsidRPr="00096994">
              <w:rPr>
                <w:color w:val="auto"/>
                <w:sz w:val="22"/>
                <w:szCs w:val="32"/>
              </w:rPr>
              <w:t>Teacher training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981370" w14:textId="77777777" w:rsidR="00FA6B10" w:rsidRPr="00096994" w:rsidRDefault="00FA6B10" w:rsidP="00FA6B10">
            <w:pPr>
              <w:pStyle w:val="TableText"/>
              <w:rPr>
                <w:color w:val="auto"/>
                <w:sz w:val="22"/>
                <w:szCs w:val="32"/>
              </w:rPr>
            </w:pPr>
            <w:r w:rsidRPr="00096994">
              <w:rPr>
                <w:color w:val="auto"/>
                <w:sz w:val="22"/>
                <w:szCs w:val="32"/>
              </w:rPr>
              <w:t>20%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12EA9AB" w14:textId="77777777" w:rsidR="00FA6B10" w:rsidRPr="00096994" w:rsidRDefault="00FA6B10" w:rsidP="00FA6B10">
            <w:pPr>
              <w:pStyle w:val="TableText"/>
              <w:rPr>
                <w:color w:val="auto"/>
                <w:sz w:val="22"/>
                <w:szCs w:val="32"/>
              </w:rPr>
            </w:pPr>
            <w:r w:rsidRPr="00096994">
              <w:rPr>
                <w:color w:val="auto"/>
                <w:sz w:val="22"/>
                <w:szCs w:val="32"/>
              </w:rPr>
              <w:t>~10%</w:t>
            </w:r>
          </w:p>
        </w:tc>
      </w:tr>
      <w:tr w:rsidR="00FA6B10" w:rsidRPr="00096994" w14:paraId="69DCDA0C" w14:textId="77777777" w:rsidTr="00F31C10">
        <w:trPr>
          <w:trHeight w:val="49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99FA60B" w14:textId="77777777" w:rsidR="00FA6B10" w:rsidRPr="00096994" w:rsidRDefault="00FA6B10" w:rsidP="00FA6B10">
            <w:pPr>
              <w:pStyle w:val="TableText"/>
              <w:rPr>
                <w:color w:val="auto"/>
                <w:sz w:val="22"/>
                <w:szCs w:val="32"/>
              </w:rPr>
            </w:pPr>
            <w:r w:rsidRPr="00096994">
              <w:rPr>
                <w:color w:val="auto"/>
                <w:sz w:val="22"/>
                <w:szCs w:val="32"/>
              </w:rPr>
              <w:t>Dual education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B1AA19" w14:textId="77777777" w:rsidR="00FA6B10" w:rsidRPr="00096994" w:rsidRDefault="00FA6B10" w:rsidP="00FA6B10">
            <w:pPr>
              <w:pStyle w:val="TableText"/>
              <w:rPr>
                <w:color w:val="auto"/>
                <w:sz w:val="22"/>
                <w:szCs w:val="32"/>
              </w:rPr>
            </w:pPr>
            <w:r w:rsidRPr="00096994">
              <w:rPr>
                <w:color w:val="auto"/>
                <w:sz w:val="22"/>
                <w:szCs w:val="32"/>
              </w:rPr>
              <w:t>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D73A1A" w14:textId="77777777" w:rsidR="00FA6B10" w:rsidRPr="00096994" w:rsidRDefault="00FA6B10" w:rsidP="00FA6B10">
            <w:pPr>
              <w:pStyle w:val="TableText"/>
              <w:rPr>
                <w:color w:val="auto"/>
                <w:sz w:val="22"/>
                <w:szCs w:val="32"/>
              </w:rPr>
            </w:pPr>
            <w:r w:rsidRPr="00096994">
              <w:rPr>
                <w:color w:val="auto"/>
                <w:sz w:val="22"/>
                <w:szCs w:val="32"/>
              </w:rPr>
              <w:t>~15%</w:t>
            </w:r>
          </w:p>
        </w:tc>
      </w:tr>
      <w:tr w:rsidR="00FA6B10" w:rsidRPr="00096994" w14:paraId="12F1F88C" w14:textId="77777777" w:rsidTr="00F31C10">
        <w:trPr>
          <w:trHeight w:val="49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8A6000F" w14:textId="77777777" w:rsidR="00FA6B10" w:rsidRPr="00096994" w:rsidRDefault="00FA6B10" w:rsidP="00FA6B10">
            <w:pPr>
              <w:pStyle w:val="TableText"/>
              <w:rPr>
                <w:color w:val="auto"/>
                <w:sz w:val="22"/>
                <w:szCs w:val="32"/>
              </w:rPr>
            </w:pPr>
            <w:r w:rsidRPr="00096994">
              <w:rPr>
                <w:color w:val="auto"/>
                <w:sz w:val="22"/>
                <w:szCs w:val="32"/>
              </w:rPr>
              <w:t>Governance reform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5D2965" w14:textId="77777777" w:rsidR="00FA6B10" w:rsidRPr="00096994" w:rsidRDefault="00FA6B10" w:rsidP="00FA6B10">
            <w:pPr>
              <w:pStyle w:val="TableText"/>
              <w:rPr>
                <w:color w:val="auto"/>
                <w:sz w:val="22"/>
                <w:szCs w:val="32"/>
              </w:rPr>
            </w:pPr>
            <w:r w:rsidRPr="00096994">
              <w:rPr>
                <w:color w:val="auto"/>
                <w:sz w:val="22"/>
                <w:szCs w:val="32"/>
              </w:rPr>
              <w:t>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0A01C0" w14:textId="77777777" w:rsidR="00FA6B10" w:rsidRPr="00096994" w:rsidRDefault="00FA6B10" w:rsidP="00FA6B10">
            <w:pPr>
              <w:pStyle w:val="TableText"/>
              <w:rPr>
                <w:color w:val="auto"/>
                <w:sz w:val="22"/>
                <w:szCs w:val="32"/>
              </w:rPr>
            </w:pPr>
            <w:r w:rsidRPr="00096994">
              <w:rPr>
                <w:color w:val="auto"/>
                <w:sz w:val="22"/>
                <w:szCs w:val="32"/>
              </w:rPr>
              <w:t>~5%</w:t>
            </w:r>
          </w:p>
        </w:tc>
      </w:tr>
      <w:tr w:rsidR="00FA6B10" w:rsidRPr="00096994" w14:paraId="14F6D90E" w14:textId="77777777" w:rsidTr="00F31C10">
        <w:trPr>
          <w:trHeight w:val="50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7D8C582" w14:textId="77777777" w:rsidR="00FA6B10" w:rsidRPr="00096994" w:rsidRDefault="00FA6B10" w:rsidP="00FA6B10">
            <w:pPr>
              <w:pStyle w:val="TableText"/>
              <w:rPr>
                <w:color w:val="auto"/>
                <w:sz w:val="22"/>
                <w:szCs w:val="32"/>
              </w:rPr>
            </w:pPr>
            <w:r w:rsidRPr="00096994">
              <w:rPr>
                <w:color w:val="auto"/>
                <w:sz w:val="22"/>
                <w:szCs w:val="32"/>
              </w:rPr>
              <w:t>Monitoring &amp; evaluation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1E0457" w14:textId="77777777" w:rsidR="00FA6B10" w:rsidRPr="00096994" w:rsidRDefault="00FA6B10" w:rsidP="00FA6B10">
            <w:pPr>
              <w:pStyle w:val="TableText"/>
              <w:rPr>
                <w:color w:val="auto"/>
                <w:sz w:val="22"/>
                <w:szCs w:val="32"/>
              </w:rPr>
            </w:pPr>
            <w:r w:rsidRPr="00096994">
              <w:rPr>
                <w:color w:val="auto"/>
                <w:sz w:val="22"/>
                <w:szCs w:val="32"/>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993799" w14:textId="77777777" w:rsidR="00FA6B10" w:rsidRPr="00096994" w:rsidRDefault="00FA6B10" w:rsidP="00FA6B10">
            <w:pPr>
              <w:pStyle w:val="TableText"/>
              <w:rPr>
                <w:color w:val="auto"/>
                <w:sz w:val="22"/>
                <w:szCs w:val="32"/>
              </w:rPr>
            </w:pPr>
            <w:r w:rsidRPr="00096994">
              <w:rPr>
                <w:color w:val="auto"/>
                <w:sz w:val="22"/>
                <w:szCs w:val="32"/>
              </w:rPr>
              <w:t>&lt;5%</w:t>
            </w:r>
          </w:p>
        </w:tc>
      </w:tr>
    </w:tbl>
    <w:p w14:paraId="7159E980" w14:textId="0D3F9BF0" w:rsidR="000B2428" w:rsidRPr="00096994" w:rsidRDefault="00FA6B10" w:rsidP="000B2428">
      <w:pPr>
        <w:pStyle w:val="Heading3"/>
        <w:rPr>
          <w:color w:val="auto"/>
        </w:rPr>
      </w:pPr>
      <w:r w:rsidRPr="00096994">
        <w:rPr>
          <w:color w:val="auto"/>
        </w:rPr>
        <w:t>SANOVIA DIAGNOSTIC SUMMARY</w:t>
      </w:r>
    </w:p>
    <w:tbl>
      <w:tblPr>
        <w:tblW w:w="8787" w:type="dxa"/>
        <w:tblCellSpacing w:w="15" w:type="dxa"/>
        <w:tblCellMar>
          <w:top w:w="15" w:type="dxa"/>
          <w:left w:w="15" w:type="dxa"/>
          <w:bottom w:w="15" w:type="dxa"/>
          <w:right w:w="15" w:type="dxa"/>
        </w:tblCellMar>
        <w:tblLook w:val="04A0" w:firstRow="1" w:lastRow="0" w:firstColumn="1" w:lastColumn="0" w:noHBand="0" w:noVBand="1"/>
      </w:tblPr>
      <w:tblGrid>
        <w:gridCol w:w="2484"/>
        <w:gridCol w:w="6303"/>
      </w:tblGrid>
      <w:tr w:rsidR="00FA6B10" w:rsidRPr="00096994" w14:paraId="540C62A9"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08DD07C" w14:textId="77777777" w:rsidR="00FA6B10" w:rsidRPr="00096994" w:rsidRDefault="00FA6B10" w:rsidP="00FA6B10">
            <w:pPr>
              <w:pStyle w:val="TableFirstColumn"/>
              <w:rPr>
                <w:b/>
                <w:bCs w:val="0"/>
                <w:color w:val="auto"/>
                <w:sz w:val="22"/>
                <w:szCs w:val="32"/>
              </w:rPr>
            </w:pPr>
            <w:r w:rsidRPr="00096994">
              <w:rPr>
                <w:b/>
                <w:bCs w:val="0"/>
                <w:color w:val="auto"/>
                <w:sz w:val="22"/>
                <w:szCs w:val="32"/>
              </w:rPr>
              <w:t>Dimension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840DA6" w14:textId="77777777" w:rsidR="00FA6B10" w:rsidRPr="00096994" w:rsidRDefault="00FA6B10" w:rsidP="00FA6B10">
            <w:pPr>
              <w:pStyle w:val="TableFirstColumn"/>
              <w:rPr>
                <w:b/>
                <w:bCs w:val="0"/>
                <w:color w:val="auto"/>
                <w:sz w:val="22"/>
                <w:szCs w:val="32"/>
              </w:rPr>
            </w:pPr>
            <w:r w:rsidRPr="00096994">
              <w:rPr>
                <w:b/>
                <w:bCs w:val="0"/>
                <w:color w:val="auto"/>
                <w:sz w:val="22"/>
                <w:szCs w:val="32"/>
              </w:rPr>
              <w:t>Sanovia Reality</w:t>
            </w:r>
          </w:p>
        </w:tc>
      </w:tr>
      <w:tr w:rsidR="00FA6B10" w:rsidRPr="00096994" w14:paraId="024A76CB"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A31C090" w14:textId="77777777" w:rsidR="00FA6B10" w:rsidRPr="00096994" w:rsidRDefault="00FA6B10" w:rsidP="00FA6B10">
            <w:pPr>
              <w:pStyle w:val="TableText"/>
              <w:rPr>
                <w:color w:val="auto"/>
                <w:sz w:val="22"/>
              </w:rPr>
            </w:pPr>
            <w:r w:rsidRPr="00096994">
              <w:rPr>
                <w:color w:val="auto"/>
                <w:sz w:val="22"/>
              </w:rPr>
              <w:t>Governance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B545FA" w14:textId="77777777" w:rsidR="00FA6B10" w:rsidRPr="00096994" w:rsidRDefault="00FA6B10" w:rsidP="00FA6B10">
            <w:pPr>
              <w:pStyle w:val="TableText"/>
              <w:rPr>
                <w:color w:val="auto"/>
                <w:sz w:val="22"/>
              </w:rPr>
            </w:pPr>
            <w:r w:rsidRPr="00096994">
              <w:rPr>
                <w:color w:val="auto"/>
                <w:sz w:val="22"/>
              </w:rPr>
              <w:t>Fragmented across 15 ministries</w:t>
            </w:r>
          </w:p>
        </w:tc>
      </w:tr>
      <w:tr w:rsidR="00FA6B10" w:rsidRPr="00096994" w14:paraId="0A489C16"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DBBFD98" w14:textId="77777777" w:rsidR="00FA6B10" w:rsidRPr="00096994" w:rsidRDefault="00FA6B10" w:rsidP="00FA6B10">
            <w:pPr>
              <w:pStyle w:val="TableText"/>
              <w:rPr>
                <w:color w:val="auto"/>
                <w:sz w:val="22"/>
              </w:rPr>
            </w:pPr>
            <w:r w:rsidRPr="00096994">
              <w:rPr>
                <w:color w:val="auto"/>
                <w:sz w:val="22"/>
              </w:rPr>
              <w:t>Strategy design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FCA4BC" w14:textId="77777777" w:rsidR="00FA6B10" w:rsidRPr="00096994" w:rsidRDefault="00FA6B10" w:rsidP="00FA6B10">
            <w:pPr>
              <w:pStyle w:val="TableText"/>
              <w:rPr>
                <w:color w:val="auto"/>
                <w:sz w:val="22"/>
              </w:rPr>
            </w:pPr>
            <w:r w:rsidRPr="00096994">
              <w:rPr>
                <w:color w:val="auto"/>
                <w:sz w:val="22"/>
              </w:rPr>
              <w:t>Donor-supported and politically driven</w:t>
            </w:r>
          </w:p>
        </w:tc>
      </w:tr>
      <w:tr w:rsidR="00FA6B10" w:rsidRPr="00096994" w14:paraId="469CBB8E"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E98BF07" w14:textId="77777777" w:rsidR="00FA6B10" w:rsidRPr="00096994" w:rsidRDefault="00FA6B10" w:rsidP="00FA6B10">
            <w:pPr>
              <w:pStyle w:val="TableText"/>
              <w:rPr>
                <w:color w:val="auto"/>
                <w:sz w:val="22"/>
              </w:rPr>
            </w:pPr>
            <w:r w:rsidRPr="00096994">
              <w:rPr>
                <w:color w:val="auto"/>
                <w:sz w:val="22"/>
              </w:rPr>
              <w:t>Costing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E52A82" w14:textId="77777777" w:rsidR="00FA6B10" w:rsidRPr="00096994" w:rsidRDefault="00FA6B10" w:rsidP="00FA6B10">
            <w:pPr>
              <w:pStyle w:val="TableText"/>
              <w:rPr>
                <w:color w:val="auto"/>
                <w:sz w:val="22"/>
              </w:rPr>
            </w:pPr>
            <w:r w:rsidRPr="00096994">
              <w:rPr>
                <w:color w:val="auto"/>
                <w:sz w:val="22"/>
              </w:rPr>
              <w:t>Partial and weakly linked</w:t>
            </w:r>
          </w:p>
        </w:tc>
      </w:tr>
      <w:tr w:rsidR="00FA6B10" w:rsidRPr="00096994" w14:paraId="227109AE"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D419DF" w14:textId="77777777" w:rsidR="00FA6B10" w:rsidRPr="00096994" w:rsidRDefault="00FA6B10" w:rsidP="00FA6B10">
            <w:pPr>
              <w:pStyle w:val="TableText"/>
              <w:rPr>
                <w:color w:val="auto"/>
                <w:sz w:val="22"/>
              </w:rPr>
            </w:pPr>
            <w:r w:rsidRPr="00096994">
              <w:rPr>
                <w:color w:val="auto"/>
                <w:sz w:val="22"/>
              </w:rPr>
              <w:t>Institutional setup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F126FA" w14:textId="77777777" w:rsidR="00FA6B10" w:rsidRPr="00096994" w:rsidRDefault="00FA6B10" w:rsidP="00FA6B10">
            <w:pPr>
              <w:pStyle w:val="TableText"/>
              <w:rPr>
                <w:color w:val="auto"/>
                <w:sz w:val="22"/>
              </w:rPr>
            </w:pPr>
            <w:r w:rsidRPr="00096994">
              <w:rPr>
                <w:color w:val="auto"/>
                <w:sz w:val="22"/>
              </w:rPr>
              <w:t>Distributed responsibilities</w:t>
            </w:r>
          </w:p>
        </w:tc>
      </w:tr>
      <w:tr w:rsidR="00FA6B10" w:rsidRPr="00096994" w14:paraId="782A2420" w14:textId="77777777" w:rsidTr="00F31C10">
        <w:trPr>
          <w:trHeight w:val="448"/>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8D2F47" w14:textId="77777777" w:rsidR="00FA6B10" w:rsidRPr="00096994" w:rsidRDefault="00FA6B10" w:rsidP="00FA6B10">
            <w:pPr>
              <w:pStyle w:val="TableText"/>
              <w:rPr>
                <w:color w:val="auto"/>
                <w:sz w:val="22"/>
              </w:rPr>
            </w:pPr>
            <w:r w:rsidRPr="00096994">
              <w:rPr>
                <w:color w:val="auto"/>
                <w:sz w:val="22"/>
              </w:rPr>
              <w:t>Budget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5B932D" w14:textId="77777777" w:rsidR="00FA6B10" w:rsidRPr="00096994" w:rsidRDefault="00FA6B10" w:rsidP="00FA6B10">
            <w:pPr>
              <w:pStyle w:val="TableText"/>
              <w:rPr>
                <w:color w:val="auto"/>
                <w:sz w:val="22"/>
              </w:rPr>
            </w:pPr>
            <w:r w:rsidRPr="00096994">
              <w:rPr>
                <w:color w:val="auto"/>
                <w:sz w:val="22"/>
              </w:rPr>
              <w:t>€4 billion, all sources not prohibited by the law</w:t>
            </w:r>
          </w:p>
        </w:tc>
      </w:tr>
      <w:tr w:rsidR="00FA6B10" w:rsidRPr="00096994" w14:paraId="6CE60B5F" w14:textId="77777777" w:rsidTr="00F31C10">
        <w:trPr>
          <w:trHeight w:val="457"/>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3B8C65B" w14:textId="77777777" w:rsidR="00FA6B10" w:rsidRPr="00096994" w:rsidRDefault="00FA6B10" w:rsidP="00FA6B10">
            <w:pPr>
              <w:pStyle w:val="TableText"/>
              <w:rPr>
                <w:color w:val="auto"/>
                <w:sz w:val="22"/>
              </w:rPr>
            </w:pPr>
            <w:r w:rsidRPr="00096994">
              <w:rPr>
                <w:color w:val="auto"/>
                <w:sz w:val="22"/>
              </w:rPr>
              <w:lastRenderedPageBreak/>
              <w:t>Implementation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9E45BB" w14:textId="77777777" w:rsidR="00FA6B10" w:rsidRPr="00096994" w:rsidRDefault="00FA6B10" w:rsidP="00FA6B10">
            <w:pPr>
              <w:pStyle w:val="TableText"/>
              <w:rPr>
                <w:color w:val="auto"/>
                <w:sz w:val="22"/>
              </w:rPr>
            </w:pPr>
            <w:r w:rsidRPr="00096994">
              <w:rPr>
                <w:color w:val="auto"/>
                <w:sz w:val="22"/>
              </w:rPr>
              <w:t>Uneven across regions</w:t>
            </w:r>
          </w:p>
        </w:tc>
      </w:tr>
    </w:tbl>
    <w:p w14:paraId="069F4750" w14:textId="77777777" w:rsidR="00FA6B10" w:rsidRPr="00096994" w:rsidRDefault="00FA6B10" w:rsidP="00FA6B10">
      <w:pPr>
        <w:pStyle w:val="BodyText"/>
        <w:rPr>
          <w:color w:val="auto"/>
          <w:lang w:val="fr-FR"/>
        </w:rPr>
      </w:pPr>
    </w:p>
    <w:p w14:paraId="46BF9FF4" w14:textId="77777777" w:rsidR="000B2428" w:rsidRPr="00096994" w:rsidRDefault="000B2428" w:rsidP="000B2428">
      <w:pPr>
        <w:pStyle w:val="Heading2"/>
        <w:rPr>
          <w:color w:val="auto"/>
        </w:rPr>
      </w:pPr>
      <w:r w:rsidRPr="00096994">
        <w:rPr>
          <w:color w:val="auto"/>
        </w:rPr>
        <w:t>GROUP WORK QUESTIONS </w:t>
      </w:r>
    </w:p>
    <w:p w14:paraId="40682D08" w14:textId="77777777" w:rsidR="000B2428" w:rsidRPr="00096994" w:rsidRDefault="000B2428" w:rsidP="000B2428">
      <w:pPr>
        <w:pStyle w:val="BodyText"/>
        <w:rPr>
          <w:color w:val="auto"/>
        </w:rPr>
      </w:pPr>
      <w:r w:rsidRPr="00096994">
        <w:rPr>
          <w:b/>
          <w:bCs/>
          <w:color w:val="auto"/>
        </w:rPr>
        <w:t>Diagnosing</w:t>
      </w:r>
      <w:r w:rsidRPr="00096994">
        <w:rPr>
          <w:color w:val="auto"/>
        </w:rPr>
        <w:t> </w:t>
      </w:r>
    </w:p>
    <w:p w14:paraId="77945A21" w14:textId="77777777" w:rsidR="000B2428" w:rsidRPr="00096994" w:rsidRDefault="000B2428" w:rsidP="000B2428">
      <w:pPr>
        <w:pStyle w:val="BodyText"/>
        <w:numPr>
          <w:ilvl w:val="0"/>
          <w:numId w:val="20"/>
        </w:numPr>
        <w:rPr>
          <w:color w:val="auto"/>
        </w:rPr>
      </w:pPr>
      <w:r w:rsidRPr="00096994">
        <w:rPr>
          <w:color w:val="auto"/>
        </w:rPr>
        <w:t>What patterns do you observe in the system? </w:t>
      </w:r>
    </w:p>
    <w:p w14:paraId="1152961B" w14:textId="77777777" w:rsidR="000B2428" w:rsidRPr="00096994" w:rsidRDefault="000B2428" w:rsidP="000B2428">
      <w:pPr>
        <w:pStyle w:val="BodyText"/>
        <w:numPr>
          <w:ilvl w:val="0"/>
          <w:numId w:val="21"/>
        </w:numPr>
        <w:rPr>
          <w:color w:val="auto"/>
        </w:rPr>
      </w:pPr>
      <w:r w:rsidRPr="00096994">
        <w:rPr>
          <w:color w:val="auto"/>
        </w:rPr>
        <w:t>Where do differences between regions appear most significant? </w:t>
      </w:r>
    </w:p>
    <w:p w14:paraId="285555DD" w14:textId="77777777" w:rsidR="000B2428" w:rsidRPr="00096994" w:rsidRDefault="000B2428" w:rsidP="000B2428">
      <w:pPr>
        <w:pStyle w:val="BodyText"/>
        <w:numPr>
          <w:ilvl w:val="0"/>
          <w:numId w:val="22"/>
        </w:numPr>
        <w:rPr>
          <w:color w:val="auto"/>
        </w:rPr>
      </w:pPr>
      <w:r w:rsidRPr="00096994">
        <w:rPr>
          <w:color w:val="auto"/>
        </w:rPr>
        <w:t>How are priorities translated into action? </w:t>
      </w:r>
    </w:p>
    <w:p w14:paraId="6CCBC0C5" w14:textId="77777777" w:rsidR="000B2428" w:rsidRPr="00096994" w:rsidRDefault="000B2428" w:rsidP="000B2428">
      <w:pPr>
        <w:pStyle w:val="BodyText"/>
        <w:rPr>
          <w:color w:val="auto"/>
        </w:rPr>
      </w:pPr>
      <w:r w:rsidRPr="00096994">
        <w:rPr>
          <w:b/>
          <w:bCs/>
          <w:color w:val="auto"/>
        </w:rPr>
        <w:t> Interpretation</w:t>
      </w:r>
      <w:r w:rsidRPr="00096994">
        <w:rPr>
          <w:color w:val="auto"/>
        </w:rPr>
        <w:t> </w:t>
      </w:r>
    </w:p>
    <w:p w14:paraId="5FAF3C53" w14:textId="77777777" w:rsidR="000B2428" w:rsidRPr="00096994" w:rsidRDefault="000B2428" w:rsidP="000B2428">
      <w:pPr>
        <w:pStyle w:val="BodyText"/>
        <w:numPr>
          <w:ilvl w:val="0"/>
          <w:numId w:val="23"/>
        </w:numPr>
        <w:rPr>
          <w:color w:val="auto"/>
        </w:rPr>
      </w:pPr>
      <w:r w:rsidRPr="00096994">
        <w:rPr>
          <w:color w:val="auto"/>
        </w:rPr>
        <w:t>How do governance arrangements influence implementation? </w:t>
      </w:r>
    </w:p>
    <w:p w14:paraId="60AA389B" w14:textId="77777777" w:rsidR="000B2428" w:rsidRPr="00096994" w:rsidRDefault="000B2428" w:rsidP="000B2428">
      <w:pPr>
        <w:pStyle w:val="BodyText"/>
        <w:numPr>
          <w:ilvl w:val="0"/>
          <w:numId w:val="24"/>
        </w:numPr>
        <w:rPr>
          <w:color w:val="auto"/>
        </w:rPr>
      </w:pPr>
      <w:r w:rsidRPr="00096994">
        <w:rPr>
          <w:color w:val="auto"/>
        </w:rPr>
        <w:t>How are financial resources shaping reform outcomes? </w:t>
      </w:r>
    </w:p>
    <w:p w14:paraId="7D4A8731" w14:textId="77777777" w:rsidR="000B2428" w:rsidRPr="00096994" w:rsidRDefault="000B2428" w:rsidP="000B2428">
      <w:pPr>
        <w:pStyle w:val="BodyText"/>
        <w:numPr>
          <w:ilvl w:val="0"/>
          <w:numId w:val="25"/>
        </w:numPr>
        <w:rPr>
          <w:color w:val="auto"/>
        </w:rPr>
      </w:pPr>
      <w:r w:rsidRPr="00096994">
        <w:rPr>
          <w:color w:val="auto"/>
        </w:rPr>
        <w:t>Where might the implementation chain weaken? </w:t>
      </w:r>
    </w:p>
    <w:p w14:paraId="2F3170CB" w14:textId="77777777" w:rsidR="000B2428" w:rsidRPr="00096994" w:rsidRDefault="000B2428" w:rsidP="000B2428">
      <w:pPr>
        <w:pStyle w:val="BodyText"/>
        <w:numPr>
          <w:ilvl w:val="0"/>
          <w:numId w:val="26"/>
        </w:numPr>
        <w:rPr>
          <w:color w:val="auto"/>
        </w:rPr>
      </w:pPr>
      <w:r w:rsidRPr="00096994">
        <w:rPr>
          <w:color w:val="auto"/>
        </w:rPr>
        <w:t>Which elements of the strategy appear least feasible? </w:t>
      </w:r>
    </w:p>
    <w:p w14:paraId="306953F2" w14:textId="4C63B6BA" w:rsidR="000B2428" w:rsidRPr="00096994" w:rsidRDefault="000B2428" w:rsidP="000B2428">
      <w:pPr>
        <w:pStyle w:val="BodyText"/>
        <w:numPr>
          <w:ilvl w:val="0"/>
          <w:numId w:val="27"/>
        </w:numPr>
        <w:rPr>
          <w:b/>
          <w:bCs/>
          <w:color w:val="auto"/>
        </w:rPr>
      </w:pPr>
      <w:r w:rsidRPr="00096994">
        <w:rPr>
          <w:b/>
          <w:bCs/>
          <w:color w:val="auto"/>
        </w:rPr>
        <w:t>What challenges will Sanovia face in the next phase of implementation? </w:t>
      </w:r>
    </w:p>
    <w:sectPr w:rsidR="000B2428" w:rsidRPr="00096994" w:rsidSect="00240839">
      <w:footerReference w:type="default" r:id="rId8"/>
      <w:headerReference w:type="first" r:id="rId9"/>
      <w:footerReference w:type="first" r:id="rId10"/>
      <w:pgSz w:w="11906" w:h="16838" w:code="9"/>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428A" w14:textId="77777777" w:rsidR="00125E9E" w:rsidRDefault="00125E9E" w:rsidP="00870E0B">
      <w:pPr>
        <w:spacing w:after="0" w:line="240" w:lineRule="auto"/>
      </w:pPr>
      <w:r>
        <w:separator/>
      </w:r>
    </w:p>
  </w:endnote>
  <w:endnote w:type="continuationSeparator" w:id="0">
    <w:p w14:paraId="707BEE93" w14:textId="77777777" w:rsidR="00125E9E" w:rsidRDefault="00125E9E" w:rsidP="0087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8D5A" w14:textId="77777777" w:rsidR="00030FBC" w:rsidRDefault="00030FBC" w:rsidP="00030FBC">
    <w:pPr>
      <w:pStyle w:val="Footer"/>
    </w:pPr>
  </w:p>
  <w:p w14:paraId="250BAB09" w14:textId="77777777" w:rsidR="00030FBC" w:rsidRDefault="00030FBC" w:rsidP="00030FBC">
    <w:pPr>
      <w:pStyle w:val="Footer"/>
    </w:pPr>
  </w:p>
  <w:p w14:paraId="4BAD3CFA" w14:textId="77777777" w:rsidR="00030FBC" w:rsidRPr="00636F0B" w:rsidRDefault="000A1F43" w:rsidP="00030FBC">
    <w:pPr>
      <w:pStyle w:val="Footerwithline"/>
    </w:pPr>
    <w:r w:rsidRPr="00240839">
      <w:rPr>
        <w:noProof/>
      </w:rPr>
      <w:drawing>
        <wp:anchor distT="0" distB="0" distL="114300" distR="114300" simplePos="0" relativeHeight="251662336" behindDoc="0" locked="1" layoutInCell="1" allowOverlap="1" wp14:anchorId="23B3C335" wp14:editId="66270DFC">
          <wp:simplePos x="0" y="0"/>
          <wp:positionH relativeFrom="margin">
            <wp:align>left</wp:align>
          </wp:positionH>
          <wp:positionV relativeFrom="paragraph">
            <wp:posOffset>50165</wp:posOffset>
          </wp:positionV>
          <wp:extent cx="539115" cy="330835"/>
          <wp:effectExtent l="0" t="0" r="0" b="0"/>
          <wp:wrapNone/>
          <wp:docPr id="1" name="imgLogoET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ETF2"/>
                  <pic:cNvPicPr/>
                </pic:nvPicPr>
                <pic:blipFill rotWithShape="1">
                  <a:blip r:embed="rId1">
                    <a:extLst>
                      <a:ext uri="{28A0092B-C50C-407E-A947-70E740481C1C}">
                        <a14:useLocalDpi xmlns:a14="http://schemas.microsoft.com/office/drawing/2010/main" val="0"/>
                      </a:ext>
                    </a:extLst>
                  </a:blip>
                  <a:srcRect l="11443" t="20562" r="10220" b="20032"/>
                  <a:stretch/>
                </pic:blipFill>
                <pic:spPr bwMode="auto">
                  <a:xfrm>
                    <a:off x="0" y="0"/>
                    <a:ext cx="539115" cy="330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0FBC">
      <w:ptab w:relativeTo="margin" w:alignment="right" w:leader="none"/>
    </w:r>
    <w:r w:rsidR="00030FBC">
      <w:fldChar w:fldCharType="begin"/>
    </w:r>
    <w:r w:rsidR="00030FBC">
      <w:instrText xml:space="preserve"> PAGE  \# "00" </w:instrText>
    </w:r>
    <w:r w:rsidR="00030FBC">
      <w:fldChar w:fldCharType="separate"/>
    </w:r>
    <w:r w:rsidR="00030FBC">
      <w:t>01</w:t>
    </w:r>
    <w:r w:rsidR="00030FB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8098" w14:textId="39DD39B7" w:rsidR="00240839" w:rsidRDefault="00240839" w:rsidP="00240839">
    <w:pPr>
      <w:pStyle w:val="Footer"/>
    </w:pPr>
  </w:p>
  <w:p w14:paraId="6AE3F1ED" w14:textId="77777777" w:rsidR="00240839" w:rsidRDefault="00240839" w:rsidP="00240839">
    <w:pPr>
      <w:pStyle w:val="Footer"/>
    </w:pPr>
  </w:p>
  <w:p w14:paraId="45C4FF78" w14:textId="76D4A5EA" w:rsidR="00636F0B" w:rsidRPr="000B2428" w:rsidRDefault="000B2428" w:rsidP="000B2428">
    <w:pPr>
      <w:pStyle w:val="Footerwithline"/>
    </w:pPr>
    <w:r w:rsidRPr="000B2428">
      <w:rPr>
        <w:bCs/>
      </w:rPr>
      <w:t>Strategic Planning for Sustainable Education Policies</w:t>
    </w:r>
    <w:r w:rsidR="00636F0B">
      <w:ptab w:relativeTo="margin" w:alignment="right" w:leader="none"/>
    </w:r>
    <w:r w:rsidR="00636F0B">
      <w:fldChar w:fldCharType="begin"/>
    </w:r>
    <w:r w:rsidR="00636F0B">
      <w:instrText xml:space="preserve"> PAGE  \# "00" </w:instrText>
    </w:r>
    <w:r w:rsidR="00636F0B">
      <w:fldChar w:fldCharType="separate"/>
    </w:r>
    <w:r w:rsidR="00636F0B">
      <w:rPr>
        <w:noProof/>
      </w:rPr>
      <w:t>3</w:t>
    </w:r>
    <w:r w:rsidR="00636F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36F8" w14:textId="77777777" w:rsidR="00125E9E" w:rsidRDefault="00125E9E" w:rsidP="00870E0B">
      <w:pPr>
        <w:spacing w:after="0" w:line="240" w:lineRule="auto"/>
      </w:pPr>
      <w:r>
        <w:separator/>
      </w:r>
    </w:p>
  </w:footnote>
  <w:footnote w:type="continuationSeparator" w:id="0">
    <w:p w14:paraId="0E1FDC23" w14:textId="77777777" w:rsidR="00125E9E" w:rsidRDefault="00125E9E" w:rsidP="00870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0BB2" w14:textId="1B9EF4D6" w:rsidR="005C0892" w:rsidRPr="00240839" w:rsidRDefault="00BC723B" w:rsidP="00240839">
    <w:pPr>
      <w:pStyle w:val="Header"/>
    </w:pPr>
    <w:r w:rsidRPr="001B751A">
      <w:rPr>
        <w:noProof/>
      </w:rPr>
      <w:drawing>
        <wp:anchor distT="0" distB="0" distL="114300" distR="114300" simplePos="0" relativeHeight="251664384" behindDoc="1" locked="0" layoutInCell="1" allowOverlap="1" wp14:anchorId="44E8C14F" wp14:editId="2A230D38">
          <wp:simplePos x="0" y="0"/>
          <wp:positionH relativeFrom="margin">
            <wp:posOffset>2343150</wp:posOffset>
          </wp:positionH>
          <wp:positionV relativeFrom="paragraph">
            <wp:posOffset>81915</wp:posOffset>
          </wp:positionV>
          <wp:extent cx="1422326" cy="495240"/>
          <wp:effectExtent l="0" t="0" r="0" b="0"/>
          <wp:wrapNone/>
          <wp:docPr id="8" name="Picture 8" descr="A screenshot of a computer&#10;&#10;Description automatically generated with medium confidence">
            <a:extLst xmlns:a="http://schemas.openxmlformats.org/drawingml/2006/main">
              <a:ext uri="{FF2B5EF4-FFF2-40B4-BE49-F238E27FC236}">
                <a16:creationId xmlns:a16="http://schemas.microsoft.com/office/drawing/2014/main" id="{D88697F2-BE86-1D2D-2CB5-B747FA7B90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computer&#10;&#10;Description automatically generated with medium confidence">
                    <a:extLst>
                      <a:ext uri="{FF2B5EF4-FFF2-40B4-BE49-F238E27FC236}">
                        <a16:creationId xmlns:a16="http://schemas.microsoft.com/office/drawing/2014/main" id="{D88697F2-BE86-1D2D-2CB5-B747FA7B90B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22326" cy="495240"/>
                  </a:xfrm>
                  <a:prstGeom prst="rect">
                    <a:avLst/>
                  </a:prstGeom>
                </pic:spPr>
              </pic:pic>
            </a:graphicData>
          </a:graphic>
          <wp14:sizeRelH relativeFrom="page">
            <wp14:pctWidth>0</wp14:pctWidth>
          </wp14:sizeRelH>
          <wp14:sizeRelV relativeFrom="page">
            <wp14:pctHeight>0</wp14:pctHeight>
          </wp14:sizeRelV>
        </wp:anchor>
      </w:drawing>
    </w:r>
    <w:r w:rsidR="00636F0B" w:rsidRPr="00240839">
      <w:rPr>
        <w:noProof/>
      </w:rPr>
      <w:drawing>
        <wp:anchor distT="0" distB="0" distL="114300" distR="114300" simplePos="0" relativeHeight="251661312" behindDoc="0" locked="1" layoutInCell="1" allowOverlap="1" wp14:anchorId="1DEC8075" wp14:editId="6853BFBC">
          <wp:simplePos x="0" y="0"/>
          <wp:positionH relativeFrom="rightMargin">
            <wp:posOffset>-320675</wp:posOffset>
          </wp:positionH>
          <wp:positionV relativeFrom="page">
            <wp:posOffset>387350</wp:posOffset>
          </wp:positionV>
          <wp:extent cx="889000" cy="719455"/>
          <wp:effectExtent l="0" t="0" r="0" b="444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2">
                    <a:extLst>
                      <a:ext uri="{28A0092B-C50C-407E-A947-70E740481C1C}">
                        <a14:useLocalDpi xmlns:a14="http://schemas.microsoft.com/office/drawing/2010/main" val="0"/>
                      </a:ext>
                    </a:extLst>
                  </a:blip>
                  <a:stretch>
                    <a:fillRect/>
                  </a:stretch>
                </pic:blipFill>
                <pic:spPr>
                  <a:xfrm>
                    <a:off x="0" y="0"/>
                    <a:ext cx="889000" cy="719455"/>
                  </a:xfrm>
                  <a:prstGeom prst="rect">
                    <a:avLst/>
                  </a:prstGeom>
                </pic:spPr>
              </pic:pic>
            </a:graphicData>
          </a:graphic>
          <wp14:sizeRelH relativeFrom="margin">
            <wp14:pctWidth>0</wp14:pctWidth>
          </wp14:sizeRelH>
          <wp14:sizeRelV relativeFrom="margin">
            <wp14:pctHeight>0</wp14:pctHeight>
          </wp14:sizeRelV>
        </wp:anchor>
      </w:drawing>
    </w:r>
    <w:r w:rsidR="00636F0B" w:rsidRPr="00240839">
      <w:rPr>
        <w:noProof/>
      </w:rPr>
      <w:drawing>
        <wp:anchor distT="0" distB="0" distL="114300" distR="114300" simplePos="0" relativeHeight="251660288" behindDoc="0" locked="1" layoutInCell="1" allowOverlap="1" wp14:anchorId="2E2F0380" wp14:editId="36AEC099">
          <wp:simplePos x="0" y="0"/>
          <wp:positionH relativeFrom="page">
            <wp:posOffset>288290</wp:posOffset>
          </wp:positionH>
          <wp:positionV relativeFrom="page">
            <wp:posOffset>194310</wp:posOffset>
          </wp:positionV>
          <wp:extent cx="1357200" cy="1098000"/>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3">
                    <a:extLst>
                      <a:ext uri="{28A0092B-C50C-407E-A947-70E740481C1C}">
                        <a14:useLocalDpi xmlns:a14="http://schemas.microsoft.com/office/drawing/2010/main" val="0"/>
                      </a:ext>
                    </a:extLst>
                  </a:blip>
                  <a:stretch>
                    <a:fillRect/>
                  </a:stretch>
                </pic:blipFill>
                <pic:spPr>
                  <a:xfrm>
                    <a:off x="0" y="0"/>
                    <a:ext cx="1357200" cy="1098000"/>
                  </a:xfrm>
                  <a:prstGeom prst="rect">
                    <a:avLst/>
                  </a:prstGeom>
                </pic:spPr>
              </pic:pic>
            </a:graphicData>
          </a:graphic>
          <wp14:sizeRelH relativeFrom="page">
            <wp14:pctWidth>0</wp14:pctWidth>
          </wp14:sizeRelH>
          <wp14:sizeRelV relativeFrom="page">
            <wp14:pctHeight>0</wp14:pctHeight>
          </wp14:sizeRelV>
        </wp:anchor>
      </w:drawing>
    </w:r>
  </w:p>
  <w:p w14:paraId="13B95CF8" w14:textId="54DFC4A4" w:rsidR="00870E0B" w:rsidRPr="00240839" w:rsidRDefault="00870E0B" w:rsidP="00240839">
    <w:pPr>
      <w:pStyle w:val="Header"/>
    </w:pPr>
  </w:p>
  <w:p w14:paraId="49305D80" w14:textId="44F82BDF" w:rsidR="00870E0B" w:rsidRPr="00240839" w:rsidRDefault="00870E0B" w:rsidP="00240839">
    <w:pPr>
      <w:pStyle w:val="Header"/>
    </w:pPr>
  </w:p>
  <w:p w14:paraId="5F7FD54F" w14:textId="0529473F" w:rsidR="005005C0" w:rsidRPr="00240839" w:rsidRDefault="005005C0" w:rsidP="00240839">
    <w:pPr>
      <w:pStyle w:val="Header"/>
    </w:pPr>
  </w:p>
  <w:p w14:paraId="4627216C" w14:textId="77777777" w:rsidR="005005C0" w:rsidRDefault="005005C0" w:rsidP="00240839">
    <w:pPr>
      <w:pStyle w:val="Header"/>
    </w:pPr>
  </w:p>
  <w:p w14:paraId="663A1163" w14:textId="77777777" w:rsidR="00A15E42" w:rsidRDefault="00A15E42" w:rsidP="00240839">
    <w:pPr>
      <w:pStyle w:val="Header"/>
    </w:pPr>
  </w:p>
  <w:p w14:paraId="5CB9E50B" w14:textId="77777777" w:rsidR="00A15E42" w:rsidRPr="00A15E42" w:rsidRDefault="00A15E42" w:rsidP="00240839">
    <w:pPr>
      <w:pStyle w:val="Heade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ascii="Arial" w:hAnsi="Arial" w:hint="default"/>
        <w:color w:val="D6DCE4" w:themeColor="background2"/>
      </w:rPr>
    </w:lvl>
  </w:abstractNum>
  <w:abstractNum w:abstractNumId="3" w15:restartNumberingAfterBreak="0">
    <w:nsid w:val="FFFFFF83"/>
    <w:multiLevelType w:val="singleLevel"/>
    <w:tmpl w:val="ED7A0142"/>
    <w:lvl w:ilvl="0">
      <w:start w:val="1"/>
      <w:numFmt w:val="bullet"/>
      <w:lvlText w:val=""/>
      <w:lvlJc w:val="left"/>
      <w:pPr>
        <w:ind w:left="643" w:hanging="360"/>
      </w:pPr>
      <w:rPr>
        <w:rFonts w:ascii="Wingdings" w:hAnsi="Wingdings" w:hint="default"/>
        <w:color w:val="D6DCE4" w:themeColor="background2"/>
      </w:rPr>
    </w:lvl>
  </w:abstractNum>
  <w:abstractNum w:abstractNumId="4" w15:restartNumberingAfterBreak="0">
    <w:nsid w:val="01C05C3F"/>
    <w:multiLevelType w:val="hybridMultilevel"/>
    <w:tmpl w:val="8206A704"/>
    <w:lvl w:ilvl="0" w:tplc="F39C4C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54B9E"/>
    <w:multiLevelType w:val="multilevel"/>
    <w:tmpl w:val="58E0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0E674614"/>
    <w:multiLevelType w:val="multilevel"/>
    <w:tmpl w:val="6050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23173"/>
    <w:multiLevelType w:val="hybridMultilevel"/>
    <w:tmpl w:val="964092A6"/>
    <w:lvl w:ilvl="0" w:tplc="F39C4C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65C51"/>
    <w:multiLevelType w:val="hybridMultilevel"/>
    <w:tmpl w:val="FA02A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72F47"/>
    <w:multiLevelType w:val="hybridMultilevel"/>
    <w:tmpl w:val="40985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83BC7"/>
    <w:multiLevelType w:val="multilevel"/>
    <w:tmpl w:val="FF483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C07B9"/>
    <w:multiLevelType w:val="multilevel"/>
    <w:tmpl w:val="E86E8174"/>
    <w:lvl w:ilvl="0">
      <w:start w:val="1"/>
      <w:numFmt w:val="bullet"/>
      <w:pStyle w:val="ListBullet"/>
      <w:lvlText w:val=""/>
      <w:lvlJc w:val="left"/>
      <w:pPr>
        <w:ind w:left="284" w:hanging="284"/>
      </w:pPr>
      <w:rPr>
        <w:rFonts w:ascii="Wingdings" w:hAnsi="Wingdings" w:hint="default"/>
        <w:color w:val="0092BB" w:themeColor="text2"/>
        <w:sz w:val="24"/>
      </w:rPr>
    </w:lvl>
    <w:lvl w:ilvl="1">
      <w:start w:val="1"/>
      <w:numFmt w:val="bullet"/>
      <w:pStyle w:val="ListBullet2"/>
      <w:lvlText w:val=""/>
      <w:lvlJc w:val="left"/>
      <w:pPr>
        <w:ind w:left="568" w:hanging="284"/>
      </w:pPr>
      <w:rPr>
        <w:rFonts w:ascii="Symbol" w:hAnsi="Symbol" w:hint="default"/>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38F005DF"/>
    <w:multiLevelType w:val="multilevel"/>
    <w:tmpl w:val="F552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25EC5"/>
    <w:multiLevelType w:val="hybridMultilevel"/>
    <w:tmpl w:val="DAD4BA74"/>
    <w:lvl w:ilvl="0" w:tplc="F39C4C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213B6"/>
    <w:multiLevelType w:val="hybridMultilevel"/>
    <w:tmpl w:val="E2D6AC26"/>
    <w:lvl w:ilvl="0" w:tplc="F39C4C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B713D"/>
    <w:multiLevelType w:val="multilevel"/>
    <w:tmpl w:val="F58EF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0C41E4"/>
    <w:multiLevelType w:val="multilevel"/>
    <w:tmpl w:val="197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B5F57"/>
    <w:multiLevelType w:val="multilevel"/>
    <w:tmpl w:val="8AB8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B620A"/>
    <w:multiLevelType w:val="multilevel"/>
    <w:tmpl w:val="D4FC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050FE"/>
    <w:multiLevelType w:val="multilevel"/>
    <w:tmpl w:val="BCC8B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12417"/>
    <w:multiLevelType w:val="multilevel"/>
    <w:tmpl w:val="64BCD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026E84"/>
    <w:multiLevelType w:val="hybridMultilevel"/>
    <w:tmpl w:val="C0CAB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A75312"/>
    <w:multiLevelType w:val="multilevel"/>
    <w:tmpl w:val="4392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A4BAF"/>
    <w:multiLevelType w:val="multilevel"/>
    <w:tmpl w:val="81648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513FDE"/>
    <w:multiLevelType w:val="multilevel"/>
    <w:tmpl w:val="D85497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240A53"/>
    <w:multiLevelType w:val="hybridMultilevel"/>
    <w:tmpl w:val="4F56F302"/>
    <w:lvl w:ilvl="0" w:tplc="F39C4C1E">
      <w:numFmt w:val="bullet"/>
      <w:lvlText w:val="•"/>
      <w:lvlJc w:val="left"/>
      <w:pPr>
        <w:ind w:left="1140" w:hanging="72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A3C15CF"/>
    <w:multiLevelType w:val="hybridMultilevel"/>
    <w:tmpl w:val="D94A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746698">
    <w:abstractNumId w:val="12"/>
  </w:num>
  <w:num w:numId="2" w16cid:durableId="1478646035">
    <w:abstractNumId w:val="6"/>
  </w:num>
  <w:num w:numId="3" w16cid:durableId="1412776277">
    <w:abstractNumId w:val="3"/>
  </w:num>
  <w:num w:numId="4" w16cid:durableId="4133492">
    <w:abstractNumId w:val="2"/>
  </w:num>
  <w:num w:numId="5" w16cid:durableId="1623806791">
    <w:abstractNumId w:val="1"/>
  </w:num>
  <w:num w:numId="6" w16cid:durableId="577321919">
    <w:abstractNumId w:val="0"/>
  </w:num>
  <w:num w:numId="7" w16cid:durableId="777942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1229629">
    <w:abstractNumId w:val="12"/>
  </w:num>
  <w:num w:numId="9" w16cid:durableId="1139030923">
    <w:abstractNumId w:val="12"/>
  </w:num>
  <w:num w:numId="10" w16cid:durableId="422259551">
    <w:abstractNumId w:val="6"/>
  </w:num>
  <w:num w:numId="11" w16cid:durableId="1599286514">
    <w:abstractNumId w:val="6"/>
  </w:num>
  <w:num w:numId="12" w16cid:durableId="576860659">
    <w:abstractNumId w:val="9"/>
  </w:num>
  <w:num w:numId="13" w16cid:durableId="786389306">
    <w:abstractNumId w:val="7"/>
  </w:num>
  <w:num w:numId="14" w16cid:durableId="981931204">
    <w:abstractNumId w:val="22"/>
  </w:num>
  <w:num w:numId="15" w16cid:durableId="1524857823">
    <w:abstractNumId w:val="19"/>
  </w:num>
  <w:num w:numId="16" w16cid:durableId="594947099">
    <w:abstractNumId w:val="23"/>
  </w:num>
  <w:num w:numId="17" w16cid:durableId="992290846">
    <w:abstractNumId w:val="17"/>
  </w:num>
  <w:num w:numId="18" w16cid:durableId="1996906501">
    <w:abstractNumId w:val="18"/>
  </w:num>
  <w:num w:numId="19" w16cid:durableId="1593902380">
    <w:abstractNumId w:val="10"/>
  </w:num>
  <w:num w:numId="20" w16cid:durableId="922489465">
    <w:abstractNumId w:val="5"/>
  </w:num>
  <w:num w:numId="21" w16cid:durableId="1928464903">
    <w:abstractNumId w:val="24"/>
  </w:num>
  <w:num w:numId="22" w16cid:durableId="2005936999">
    <w:abstractNumId w:val="20"/>
  </w:num>
  <w:num w:numId="23" w16cid:durableId="1758676597">
    <w:abstractNumId w:val="13"/>
  </w:num>
  <w:num w:numId="24" w16cid:durableId="1542131194">
    <w:abstractNumId w:val="16"/>
  </w:num>
  <w:num w:numId="25" w16cid:durableId="7565887">
    <w:abstractNumId w:val="21"/>
  </w:num>
  <w:num w:numId="26" w16cid:durableId="884440338">
    <w:abstractNumId w:val="11"/>
  </w:num>
  <w:num w:numId="27" w16cid:durableId="807436067">
    <w:abstractNumId w:val="25"/>
  </w:num>
  <w:num w:numId="28" w16cid:durableId="828326388">
    <w:abstractNumId w:val="27"/>
  </w:num>
  <w:num w:numId="29" w16cid:durableId="165705215">
    <w:abstractNumId w:val="4"/>
  </w:num>
  <w:num w:numId="30" w16cid:durableId="1427070012">
    <w:abstractNumId w:val="15"/>
  </w:num>
  <w:num w:numId="31" w16cid:durableId="1617642340">
    <w:abstractNumId w:val="8"/>
  </w:num>
  <w:num w:numId="32" w16cid:durableId="824056172">
    <w:abstractNumId w:val="26"/>
  </w:num>
  <w:num w:numId="33" w16cid:durableId="1948803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3B"/>
    <w:rsid w:val="00030FBC"/>
    <w:rsid w:val="00065D31"/>
    <w:rsid w:val="000876ED"/>
    <w:rsid w:val="00093380"/>
    <w:rsid w:val="00096994"/>
    <w:rsid w:val="000A1F43"/>
    <w:rsid w:val="000B2428"/>
    <w:rsid w:val="000D1E04"/>
    <w:rsid w:val="000E73CA"/>
    <w:rsid w:val="000F7027"/>
    <w:rsid w:val="0010337A"/>
    <w:rsid w:val="00125E9E"/>
    <w:rsid w:val="00146446"/>
    <w:rsid w:val="00176904"/>
    <w:rsid w:val="001872F9"/>
    <w:rsid w:val="001C3CB1"/>
    <w:rsid w:val="001D483D"/>
    <w:rsid w:val="001F6A3C"/>
    <w:rsid w:val="00240839"/>
    <w:rsid w:val="00275584"/>
    <w:rsid w:val="002A102D"/>
    <w:rsid w:val="002B2A69"/>
    <w:rsid w:val="002C36D9"/>
    <w:rsid w:val="002E16B6"/>
    <w:rsid w:val="00312630"/>
    <w:rsid w:val="00387466"/>
    <w:rsid w:val="003B776D"/>
    <w:rsid w:val="003C4A04"/>
    <w:rsid w:val="00416CB9"/>
    <w:rsid w:val="0042251C"/>
    <w:rsid w:val="00431D2D"/>
    <w:rsid w:val="004758A0"/>
    <w:rsid w:val="004B55BD"/>
    <w:rsid w:val="004C6157"/>
    <w:rsid w:val="005005C0"/>
    <w:rsid w:val="0050145A"/>
    <w:rsid w:val="00535119"/>
    <w:rsid w:val="00565338"/>
    <w:rsid w:val="00567254"/>
    <w:rsid w:val="00575BB8"/>
    <w:rsid w:val="00593DE4"/>
    <w:rsid w:val="005B1EDA"/>
    <w:rsid w:val="005C0892"/>
    <w:rsid w:val="00636F0B"/>
    <w:rsid w:val="00654506"/>
    <w:rsid w:val="006A4AA3"/>
    <w:rsid w:val="006B6AFD"/>
    <w:rsid w:val="006E4DD2"/>
    <w:rsid w:val="006F4980"/>
    <w:rsid w:val="00725004"/>
    <w:rsid w:val="00735ADA"/>
    <w:rsid w:val="00744FC4"/>
    <w:rsid w:val="00797061"/>
    <w:rsid w:val="007976FA"/>
    <w:rsid w:val="007C1030"/>
    <w:rsid w:val="007D73C2"/>
    <w:rsid w:val="00870E0B"/>
    <w:rsid w:val="00956BB0"/>
    <w:rsid w:val="00987BC6"/>
    <w:rsid w:val="009D206E"/>
    <w:rsid w:val="009F4015"/>
    <w:rsid w:val="00A15E42"/>
    <w:rsid w:val="00A36CB1"/>
    <w:rsid w:val="00A71074"/>
    <w:rsid w:val="00AB7AE5"/>
    <w:rsid w:val="00AE5870"/>
    <w:rsid w:val="00AF6E67"/>
    <w:rsid w:val="00B019A2"/>
    <w:rsid w:val="00B0568F"/>
    <w:rsid w:val="00B13C93"/>
    <w:rsid w:val="00B449EA"/>
    <w:rsid w:val="00BC723B"/>
    <w:rsid w:val="00C42BF2"/>
    <w:rsid w:val="00C5276E"/>
    <w:rsid w:val="00CA240B"/>
    <w:rsid w:val="00CD7155"/>
    <w:rsid w:val="00D1551F"/>
    <w:rsid w:val="00D17737"/>
    <w:rsid w:val="00D43781"/>
    <w:rsid w:val="00D638CB"/>
    <w:rsid w:val="00D7429C"/>
    <w:rsid w:val="00D81DC5"/>
    <w:rsid w:val="00D92635"/>
    <w:rsid w:val="00DB6EC9"/>
    <w:rsid w:val="00DF4B46"/>
    <w:rsid w:val="00E97FCC"/>
    <w:rsid w:val="00EA7B1E"/>
    <w:rsid w:val="00EB085E"/>
    <w:rsid w:val="00EB7715"/>
    <w:rsid w:val="00F0374A"/>
    <w:rsid w:val="00F70916"/>
    <w:rsid w:val="00F737D3"/>
    <w:rsid w:val="00FA3D50"/>
    <w:rsid w:val="00FA6B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B5894"/>
  <w15:docId w15:val="{0E8AA0D9-EFDD-493A-B847-7ABAC5B3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38" w:qFormat="1"/>
    <w:lsdException w:name="heading 6" w:semiHidden="1" w:uiPriority="38" w:qFormat="1"/>
    <w:lsdException w:name="heading 7" w:semiHidden="1" w:uiPriority="38" w:qFormat="1"/>
    <w:lsdException w:name="heading 8" w:semiHidden="1" w:uiPriority="38" w:qFormat="1"/>
    <w:lsdException w:name="heading 9" w:semiHidden="1" w:uiPriority="3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semiHidden="1" w:uiPriority="35"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8"/>
    <w:lsdException w:name="FollowedHyperlink" w:semiHidden="1" w:unhideWhenUsed="1"/>
    <w:lsdException w:name="Strong" w:semiHidden="1" w:uiPriority="37" w:qFormat="1"/>
    <w:lsdException w:name="Emphasis" w:semiHidden="1" w:uiPriority="3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7"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qFormat="1"/>
    <w:lsdException w:name="Intense Emphasis" w:semiHidden="1" w:uiPriority="37" w:qFormat="1"/>
    <w:lsdException w:name="Subtle Reference" w:semiHidden="1" w:uiPriority="37" w:qFormat="1"/>
    <w:lsdException w:name="Intense Reference" w:semiHidden="1" w:uiPriority="37" w:qFormat="1"/>
    <w:lsdException w:name="Book Title" w:semiHidden="1" w:uiPriority="37" w:qFormat="1"/>
    <w:lsdException w:name="Bibliography" w:semiHidden="1" w:uiPriority="3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7C1030"/>
    <w:rPr>
      <w:sz w:val="20"/>
    </w:rPr>
  </w:style>
  <w:style w:type="paragraph" w:styleId="Heading1">
    <w:name w:val="heading 1"/>
    <w:basedOn w:val="BodyText"/>
    <w:next w:val="BodyText"/>
    <w:link w:val="Heading1Char"/>
    <w:uiPriority w:val="9"/>
    <w:qFormat/>
    <w:rsid w:val="00387466"/>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387466"/>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C42BF2"/>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C42BF2"/>
    <w:pPr>
      <w:spacing w:before="240" w:after="60"/>
      <w:outlineLvl w:val="3"/>
    </w:pPr>
    <w:rPr>
      <w:b/>
      <w:bCs/>
      <w:color w:val="0092BB"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466"/>
    <w:rPr>
      <w:b/>
      <w:bCs/>
      <w:color w:val="0092BB" w:themeColor="text2"/>
      <w:sz w:val="36"/>
      <w:szCs w:val="60"/>
    </w:rPr>
  </w:style>
  <w:style w:type="character" w:customStyle="1" w:styleId="Heading2Char">
    <w:name w:val="Heading 2 Char"/>
    <w:basedOn w:val="DefaultParagraphFont"/>
    <w:link w:val="Heading2"/>
    <w:uiPriority w:val="9"/>
    <w:rsid w:val="00387466"/>
    <w:rPr>
      <w:b/>
      <w:bCs/>
      <w:color w:val="0092BB" w:themeColor="text2"/>
      <w:sz w:val="28"/>
      <w:szCs w:val="36"/>
    </w:rPr>
  </w:style>
  <w:style w:type="paragraph" w:styleId="ListBullet">
    <w:name w:val="List Bullet"/>
    <w:aliases w:val="List B1"/>
    <w:basedOn w:val="Normal"/>
    <w:uiPriority w:val="2"/>
    <w:qFormat/>
    <w:rsid w:val="00B0568F"/>
    <w:pPr>
      <w:numPr>
        <w:numId w:val="9"/>
      </w:numPr>
      <w:spacing w:after="120"/>
    </w:pPr>
    <w:rPr>
      <w:color w:val="455560" w:themeColor="text1"/>
    </w:rPr>
  </w:style>
  <w:style w:type="paragraph" w:styleId="ListBullet2">
    <w:name w:val="List Bullet 2"/>
    <w:aliases w:val="List B2"/>
    <w:basedOn w:val="Normal"/>
    <w:uiPriority w:val="10"/>
    <w:qFormat/>
    <w:rsid w:val="00B0568F"/>
    <w:pPr>
      <w:numPr>
        <w:ilvl w:val="1"/>
        <w:numId w:val="9"/>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customStyle="1" w:styleId="BodyTextChar">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0568F"/>
    <w:pPr>
      <w:numPr>
        <w:numId w:val="11"/>
      </w:numPr>
      <w:spacing w:after="120"/>
    </w:pPr>
    <w:rPr>
      <w:color w:val="455560" w:themeColor="text1"/>
    </w:rPr>
  </w:style>
  <w:style w:type="paragraph" w:styleId="ListNumber2">
    <w:name w:val="List Number 2"/>
    <w:aliases w:val="List N2"/>
    <w:basedOn w:val="Normal"/>
    <w:uiPriority w:val="11"/>
    <w:qFormat/>
    <w:rsid w:val="00B0568F"/>
    <w:pPr>
      <w:numPr>
        <w:ilvl w:val="1"/>
        <w:numId w:val="11"/>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customStyle="1" w:styleId="Heading3Char">
    <w:name w:val="Heading 3 Char"/>
    <w:basedOn w:val="DefaultParagraphFont"/>
    <w:link w:val="Heading3"/>
    <w:uiPriority w:val="9"/>
    <w:rsid w:val="00C42BF2"/>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customStyle="1" w:styleId="HeaderChar">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customStyle="1" w:styleId="FooterChar">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0B"/>
    <w:rPr>
      <w:rFonts w:ascii="Segoe UI" w:hAnsi="Segoe UI" w:cs="Segoe UI"/>
      <w:sz w:val="18"/>
      <w:szCs w:val="18"/>
    </w:rPr>
  </w:style>
  <w:style w:type="table" w:styleId="TableGrid">
    <w:name w:val="Table Grid"/>
    <w:basedOn w:val="TableNormal"/>
    <w:uiPriority w:val="39"/>
    <w:rsid w:val="0063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ithline">
    <w:name w:val="Footer (with line)"/>
    <w:basedOn w:val="Normal"/>
    <w:uiPriority w:val="31"/>
    <w:rsid w:val="00240839"/>
    <w:pPr>
      <w:pBdr>
        <w:top w:val="single" w:sz="12" w:space="6" w:color="0092BB" w:themeColor="text2"/>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character" w:styleId="PlaceholderText">
    <w:name w:val="Placeholder Text"/>
    <w:basedOn w:val="DefaultParagraphFont"/>
    <w:uiPriority w:val="99"/>
    <w:semiHidden/>
    <w:rsid w:val="000D1E04"/>
    <w:rPr>
      <w:color w:val="808080"/>
    </w:rPr>
  </w:style>
  <w:style w:type="table" w:customStyle="1" w:styleId="ETF2021">
    <w:name w:val="ETF2021"/>
    <w:basedOn w:val="TableNormal"/>
    <w:uiPriority w:val="99"/>
    <w:rsid w:val="00030FBC"/>
    <w:pPr>
      <w:spacing w:after="0" w:line="240" w:lineRule="auto"/>
    </w:pPr>
    <w:tblPr>
      <w:tblBorders>
        <w:top w:val="single" w:sz="12" w:space="0" w:color="0092BB" w:themeColor="text2"/>
        <w:bottom w:val="single" w:sz="12" w:space="0" w:color="0092BB" w:themeColor="text2"/>
        <w:insideH w:val="single" w:sz="8" w:space="0" w:color="CBD0D3"/>
        <w:insideV w:val="single" w:sz="8" w:space="0" w:color="CBD0D3"/>
      </w:tblBorders>
      <w:tblCellMar>
        <w:top w:w="113" w:type="dxa"/>
        <w:bottom w:w="113" w:type="dxa"/>
      </w:tblCellMar>
    </w:tblPr>
    <w:tcPr>
      <w:shd w:val="clear" w:color="auto" w:fill="F9F9F9"/>
    </w:tcPr>
    <w:tblStylePr w:type="firstRow">
      <w:tblPr/>
      <w:tcPr>
        <w:tcBorders>
          <w:top w:val="single" w:sz="12" w:space="0" w:color="0092BB" w:themeColor="text2"/>
          <w:left w:val="nil"/>
          <w:bottom w:val="single" w:sz="12" w:space="0" w:color="0092BB" w:themeColor="text2"/>
          <w:right w:val="nil"/>
          <w:insideH w:val="nil"/>
          <w:insideV w:val="single" w:sz="8" w:space="0" w:color="CBD0D3"/>
          <w:tl2br w:val="nil"/>
          <w:tr2bl w:val="nil"/>
        </w:tcBorders>
        <w:shd w:val="clear" w:color="auto" w:fill="F9F9F9"/>
      </w:tcPr>
    </w:tblStylePr>
  </w:style>
  <w:style w:type="paragraph" w:customStyle="1" w:styleId="TableHeading">
    <w:name w:val="Table Heading"/>
    <w:aliases w:val="Tbl Hdg"/>
    <w:basedOn w:val="BodyText"/>
    <w:uiPriority w:val="15"/>
    <w:qFormat/>
    <w:rsid w:val="00030FBC"/>
    <w:pPr>
      <w:spacing w:after="0" w:line="240" w:lineRule="auto"/>
    </w:pPr>
    <w:rPr>
      <w:b/>
      <w:color w:val="0092BB" w:themeColor="text2"/>
      <w:sz w:val="18"/>
    </w:rPr>
  </w:style>
  <w:style w:type="paragraph" w:customStyle="1" w:styleId="TableText">
    <w:name w:val="Table Text"/>
    <w:aliases w:val="Tbl Txt"/>
    <w:basedOn w:val="BodyText"/>
    <w:uiPriority w:val="16"/>
    <w:qFormat/>
    <w:rsid w:val="007C1030"/>
    <w:pPr>
      <w:spacing w:after="0" w:line="240" w:lineRule="auto"/>
    </w:pPr>
    <w:rPr>
      <w:sz w:val="17"/>
    </w:rPr>
  </w:style>
  <w:style w:type="paragraph" w:customStyle="1" w:styleId="Call-outText">
    <w:name w:val="Call-out Text"/>
    <w:aliases w:val="CO Txt"/>
    <w:basedOn w:val="BodyText"/>
    <w:uiPriority w:val="19"/>
    <w:qFormat/>
    <w:rsid w:val="00B0568F"/>
    <w:pPr>
      <w:spacing w:line="240" w:lineRule="auto"/>
    </w:pPr>
    <w:rPr>
      <w:sz w:val="18"/>
      <w:szCs w:val="18"/>
    </w:rPr>
  </w:style>
  <w:style w:type="paragraph" w:customStyle="1" w:styleId="Call-outSource">
    <w:name w:val="Call-out Source"/>
    <w:aliases w:val="CO Src"/>
    <w:basedOn w:val="Call-outText"/>
    <w:uiPriority w:val="20"/>
    <w:qFormat/>
    <w:rsid w:val="00B0568F"/>
    <w:pPr>
      <w:spacing w:before="360"/>
    </w:pPr>
    <w:rPr>
      <w:color w:val="0092BB" w:themeColor="text2"/>
      <w:sz w:val="16"/>
    </w:rPr>
  </w:style>
  <w:style w:type="paragraph" w:customStyle="1" w:styleId="Call-outTitle">
    <w:name w:val="Call-out Title"/>
    <w:aliases w:val="CO Ttl"/>
    <w:basedOn w:val="BodyText"/>
    <w:uiPriority w:val="18"/>
    <w:qFormat/>
    <w:rsid w:val="00B0568F"/>
    <w:pPr>
      <w:spacing w:after="320" w:line="240" w:lineRule="auto"/>
    </w:pPr>
    <w:rPr>
      <w:b/>
      <w:bCs/>
      <w:color w:val="0092BB" w:themeColor="text2"/>
    </w:rPr>
  </w:style>
  <w:style w:type="character" w:customStyle="1" w:styleId="Heading4Char">
    <w:name w:val="Heading 4 Char"/>
    <w:basedOn w:val="DefaultParagraphFont"/>
    <w:link w:val="Heading4"/>
    <w:uiPriority w:val="9"/>
    <w:rsid w:val="00C42BF2"/>
    <w:rPr>
      <w:b/>
      <w:bCs/>
      <w:color w:val="0092BB" w:themeColor="text2"/>
      <w:sz w:val="20"/>
    </w:rPr>
  </w:style>
  <w:style w:type="paragraph" w:customStyle="1" w:styleId="TableSource">
    <w:name w:val="Table Source"/>
    <w:aliases w:val="Tbl Src"/>
    <w:basedOn w:val="BodyText"/>
    <w:uiPriority w:val="17"/>
    <w:qFormat/>
    <w:rsid w:val="00B0568F"/>
    <w:rPr>
      <w:color w:val="0092BB" w:themeColor="text2"/>
      <w:sz w:val="16"/>
      <w:szCs w:val="16"/>
    </w:rPr>
  </w:style>
  <w:style w:type="paragraph" w:customStyle="1" w:styleId="TableTitle">
    <w:name w:val="Table Title"/>
    <w:aliases w:val="Tbl Ttl"/>
    <w:basedOn w:val="BodyText"/>
    <w:uiPriority w:val="14"/>
    <w:qFormat/>
    <w:rsid w:val="00B0568F"/>
    <w:rPr>
      <w:b/>
      <w:bCs/>
      <w:color w:val="0092BB" w:themeColor="text2"/>
    </w:rPr>
  </w:style>
  <w:style w:type="paragraph" w:customStyle="1" w:styleId="TableFirstColumn">
    <w:name w:val="Table First Column"/>
    <w:aliases w:val="Tbl FC"/>
    <w:basedOn w:val="TableText"/>
    <w:uiPriority w:val="16"/>
    <w:qFormat/>
    <w:rsid w:val="00CA240B"/>
    <w:rPr>
      <w:bCs/>
      <w:color w:val="0092BB" w:themeColor="text2"/>
    </w:rPr>
  </w:style>
  <w:style w:type="paragraph" w:styleId="ListParagraph">
    <w:name w:val="List Paragraph"/>
    <w:basedOn w:val="Normal"/>
    <w:uiPriority w:val="34"/>
    <w:qFormat/>
    <w:rsid w:val="000B2428"/>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Blank%20-%20Portrait.dotm" TargetMode="External"/></Relationship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5B698B556D0B4C9502A5ACF2AED6A9" ma:contentTypeVersion="18" ma:contentTypeDescription="Create a new document." ma:contentTypeScope="" ma:versionID="3432e0d82aa2c6cbc318ab7ebf7bed1a">
  <xsd:schema xmlns:xsd="http://www.w3.org/2001/XMLSchema" xmlns:xs="http://www.w3.org/2001/XMLSchema" xmlns:p="http://schemas.microsoft.com/office/2006/metadata/properties" xmlns:ns2="834c7a77-a186-4b33-ad65-f5fdf95755b4" xmlns:ns3="b3144a11-e500-4ade-8fe4-7de3e8b2f8df" targetNamespace="http://schemas.microsoft.com/office/2006/metadata/properties" ma:root="true" ma:fieldsID="e892449e9d01326dccfd0f4574390e63" ns2:_="" ns3:_="">
    <xsd:import namespace="834c7a77-a186-4b33-ad65-f5fdf95755b4"/>
    <xsd:import namespace="b3144a11-e500-4ade-8fe4-7de3e8b2f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c7a77-a186-4b33-ad65-f5fdf9575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44a11-e500-4ade-8fe4-7de3e8b2f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d01145-b743-4b9f-bd72-c5f5060489c5}" ma:internalName="TaxCatchAll" ma:showField="CatchAllData" ma:web="b3144a11-e500-4ade-8fe4-7de3e8b2f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3144a11-e500-4ade-8fe4-7de3e8b2f8df">DMSPOL-593052326-20873</_dlc_DocId>
    <TaxCatchAll xmlns="b3144a11-e500-4ade-8fe4-7de3e8b2f8df" xsi:nil="true"/>
    <lcf76f155ced4ddcb4097134ff3c332f xmlns="834c7a77-a186-4b33-ad65-f5fdf95755b4">
      <Terms xmlns="http://schemas.microsoft.com/office/infopath/2007/PartnerControls"/>
    </lcf76f155ced4ddcb4097134ff3c332f>
    <_dlc_DocIdUrl xmlns="b3144a11-e500-4ade-8fe4-7de3e8b2f8df">
      <Url>https://europeantrainingfoundation.sharepoint.com/sites/PAU/_layouts/15/DocIdRedir.aspx?ID=DMSPOL-593052326-20873</Url>
      <Description>DMSPOL-593052326-20873</Description>
    </_dlc_DocIdUrl>
  </documentManagement>
</p:properties>
</file>

<file path=customXml/itemProps1.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customXml/itemProps2.xml><?xml version="1.0" encoding="utf-8"?>
<ds:datastoreItem xmlns:ds="http://schemas.openxmlformats.org/officeDocument/2006/customXml" ds:itemID="{3993E69A-EA7B-4991-9D3F-8A74ADC1224A}"/>
</file>

<file path=customXml/itemProps3.xml><?xml version="1.0" encoding="utf-8"?>
<ds:datastoreItem xmlns:ds="http://schemas.openxmlformats.org/officeDocument/2006/customXml" ds:itemID="{0CC6A574-BAB1-4D2E-94BA-926B3746440D}"/>
</file>

<file path=customXml/itemProps4.xml><?xml version="1.0" encoding="utf-8"?>
<ds:datastoreItem xmlns:ds="http://schemas.openxmlformats.org/officeDocument/2006/customXml" ds:itemID="{25D98DB7-1FC6-47D6-B28C-0BB211DC8851}"/>
</file>

<file path=customXml/itemProps5.xml><?xml version="1.0" encoding="utf-8"?>
<ds:datastoreItem xmlns:ds="http://schemas.openxmlformats.org/officeDocument/2006/customXml" ds:itemID="{46A1CFCD-8B3C-4D39-A921-0759B62C7B51}"/>
</file>

<file path=docProps/app.xml><?xml version="1.0" encoding="utf-8"?>
<Properties xmlns="http://schemas.openxmlformats.org/officeDocument/2006/extended-properties" xmlns:vt="http://schemas.openxmlformats.org/officeDocument/2006/docPropsVTypes">
  <Template>Blank - Portrait</Template>
  <TotalTime>0</TotalTime>
  <Pages>4</Pages>
  <Words>835</Words>
  <Characters>5511</Characters>
  <Application>Microsoft Office Word</Application>
  <DocSecurity>0</DocSecurity>
  <Lines>262</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Johnson (ETF)</dc:creator>
  <cp:keywords/>
  <dc:description/>
  <cp:lastModifiedBy>Janet Johnson (ETF)</cp:lastModifiedBy>
  <cp:revision>8</cp:revision>
  <dcterms:created xsi:type="dcterms:W3CDTF">2026-05-04T07:36:00Z</dcterms:created>
  <dcterms:modified xsi:type="dcterms:W3CDTF">2026-05-04T09:11:00Z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adyForAresTag">
    <vt:lpwstr>Yes</vt:lpwstr>
  </property>
  <property fmtid="{D5CDD505-2E9C-101B-9397-08002B2CF9AE}" pid="3" name="ContentTypeId">
    <vt:lpwstr>0x010100C45B698B556D0B4C9502A5ACF2AED6A9</vt:lpwstr>
  </property>
  <property fmtid="{D5CDD505-2E9C-101B-9397-08002B2CF9AE}" pid="4" name="_dlc_DocIdItemGuid">
    <vt:lpwstr>aa9f541d-0905-4794-a5cc-5fcfa88e29d4</vt:lpwstr>
  </property>
  <property fmtid="{D5CDD505-2E9C-101B-9397-08002B2CF9AE}" pid="5" name="MediaServiceImageTags">
    <vt:lpwstr/>
  </property>
</Properties>
</file>