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CEE4" w14:textId="77777777" w:rsidR="00E413F7" w:rsidRPr="00E413F7" w:rsidRDefault="00E413F7" w:rsidP="00C84B86">
      <w:pPr>
        <w:pStyle w:val="Heading1"/>
      </w:pPr>
      <w:r w:rsidRPr="00E413F7">
        <w:t>Case Study 2 — Bosnia and Herzegovina</w:t>
      </w:r>
    </w:p>
    <w:p w14:paraId="4ECABDF8" w14:textId="77777777" w:rsidR="00E413F7" w:rsidRPr="00E413F7" w:rsidRDefault="00E413F7" w:rsidP="00C84B86">
      <w:pPr>
        <w:pStyle w:val="Heading2"/>
      </w:pPr>
      <w:r w:rsidRPr="00E413F7">
        <w:t>Education reform in a fragmented governance system: Strategy or strategy gap?</w:t>
      </w:r>
    </w:p>
    <w:p w14:paraId="52E6B554" w14:textId="77777777" w:rsidR="00E413F7" w:rsidRPr="00E413F7" w:rsidRDefault="00E413F7" w:rsidP="005C5D02">
      <w:pPr>
        <w:spacing w:before="240"/>
        <w:rPr>
          <w:b/>
          <w:bCs/>
        </w:rPr>
      </w:pPr>
      <w:r w:rsidRPr="00E413F7">
        <w:rPr>
          <w:b/>
          <w:bCs/>
        </w:rPr>
        <w:t>1. Context</w:t>
      </w:r>
    </w:p>
    <w:p w14:paraId="77C72703" w14:textId="77777777" w:rsidR="00E413F7" w:rsidRPr="00E413F7" w:rsidRDefault="00E413F7" w:rsidP="00E413F7">
      <w:r w:rsidRPr="00E413F7">
        <w:t xml:space="preserve">Bosnia and Herzegovina has one of the most complex education governance systems in Europe. Education competences are shaped by the state constitution, entity and cantonal constitutions and the Statute of Brčko District. Eurydice identifies </w:t>
      </w:r>
      <w:r w:rsidRPr="00E413F7">
        <w:rPr>
          <w:b/>
          <w:bCs/>
        </w:rPr>
        <w:t>twelve responsible education institutions</w:t>
      </w:r>
      <w:r w:rsidRPr="00E413F7">
        <w:t xml:space="preserve">: the Ministry of Education and Culture of </w:t>
      </w:r>
      <w:proofErr w:type="spellStart"/>
      <w:r w:rsidRPr="00E413F7">
        <w:t>Republika</w:t>
      </w:r>
      <w:proofErr w:type="spellEnd"/>
      <w:r w:rsidRPr="00E413F7">
        <w:t xml:space="preserve"> Srpska, ten cantonal ministries in the Federation of Bosnia and Herzegovina, and the Department for Education of Brčko District. In addition, the Federal Ministry of Education and Science and the state-level Ministry of Civil Affairs have coordinating roles. </w:t>
      </w:r>
    </w:p>
    <w:p w14:paraId="2E309394" w14:textId="77777777" w:rsidR="00E413F7" w:rsidRPr="00E413F7" w:rsidRDefault="00E413F7" w:rsidP="00E413F7">
      <w:r w:rsidRPr="00E413F7">
        <w:t xml:space="preserve">Reform processes are carried out in cooperation with </w:t>
      </w:r>
      <w:r w:rsidRPr="00E413F7">
        <w:rPr>
          <w:b/>
          <w:bCs/>
        </w:rPr>
        <w:t>14 competent educational institutions</w:t>
      </w:r>
      <w:r w:rsidRPr="00E413F7">
        <w:t xml:space="preserve">. The Ministry of Civil Affairs coordinates, but competent educational authorities have autonomy to regulate their own systems. </w:t>
      </w:r>
    </w:p>
    <w:p w14:paraId="189A676A" w14:textId="77777777" w:rsidR="00E413F7" w:rsidRPr="00E413F7" w:rsidRDefault="00E413F7" w:rsidP="00E413F7">
      <w:r w:rsidRPr="00E413F7">
        <w:t>This means Bosnia and Herzegovina does not have one single education ministry with full authority over the whole system. Instead, it has a set of state-level frameworks, entity-level and cantonal policies, and sector-specific strategic documents.</w:t>
      </w:r>
    </w:p>
    <w:p w14:paraId="767E0E65" w14:textId="77777777" w:rsidR="00E413F7" w:rsidRPr="00E413F7" w:rsidRDefault="00E413F7" w:rsidP="00E413F7">
      <w:pPr>
        <w:rPr>
          <w:b/>
          <w:bCs/>
        </w:rPr>
      </w:pPr>
      <w:r w:rsidRPr="00E413F7">
        <w:rPr>
          <w:b/>
          <w:bCs/>
        </w:rPr>
        <w:t>2. The strategic landscape</w:t>
      </w:r>
    </w:p>
    <w:p w14:paraId="5CFB1E11" w14:textId="77777777" w:rsidR="00E413F7" w:rsidRPr="00E413F7" w:rsidRDefault="00E413F7" w:rsidP="00E413F7">
      <w:r w:rsidRPr="00E413F7">
        <w:t>At state level, several education-related policy documents exist. These include:</w:t>
      </w:r>
    </w:p>
    <w:p w14:paraId="28BD693D" w14:textId="77777777" w:rsidR="00E413F7" w:rsidRPr="00E413F7" w:rsidRDefault="00E413F7" w:rsidP="00E413F7">
      <w:pPr>
        <w:numPr>
          <w:ilvl w:val="0"/>
          <w:numId w:val="1"/>
        </w:numPr>
      </w:pPr>
      <w:r w:rsidRPr="00E413F7">
        <w:t xml:space="preserve">guidelines for online and blended teaching; </w:t>
      </w:r>
    </w:p>
    <w:p w14:paraId="057B14B1" w14:textId="77777777" w:rsidR="00E413F7" w:rsidRPr="00E413F7" w:rsidRDefault="00E413F7" w:rsidP="00E413F7">
      <w:pPr>
        <w:numPr>
          <w:ilvl w:val="0"/>
          <w:numId w:val="1"/>
        </w:numPr>
      </w:pPr>
      <w:r w:rsidRPr="00E413F7">
        <w:rPr>
          <w:b/>
          <w:bCs/>
        </w:rPr>
        <w:t>Improvement of Quality and Relevance of Vocational Education and Training in Bosnia and Herzegovina in the Light of the Riga Conclusions 2021–2030</w:t>
      </w:r>
      <w:r w:rsidRPr="00E413F7">
        <w:t xml:space="preserve">; </w:t>
      </w:r>
    </w:p>
    <w:p w14:paraId="5DD5815F" w14:textId="77777777" w:rsidR="00E413F7" w:rsidRPr="00E413F7" w:rsidRDefault="00E413F7" w:rsidP="00E413F7">
      <w:pPr>
        <w:numPr>
          <w:ilvl w:val="0"/>
          <w:numId w:val="1"/>
        </w:numPr>
      </w:pPr>
      <w:r w:rsidRPr="00E413F7">
        <w:rPr>
          <w:b/>
          <w:bCs/>
        </w:rPr>
        <w:t>Priorities in the Integration of Entrepreneurial Learning and Entrepreneurial Key Competencies in Education Systems in Bosnia and Herzegovina 2021–2030</w:t>
      </w:r>
      <w:r w:rsidRPr="00E413F7">
        <w:t xml:space="preserve">; </w:t>
      </w:r>
    </w:p>
    <w:p w14:paraId="62D106C1" w14:textId="77777777" w:rsidR="00E413F7" w:rsidRPr="00E413F7" w:rsidRDefault="00E413F7" w:rsidP="00E413F7">
      <w:pPr>
        <w:numPr>
          <w:ilvl w:val="0"/>
          <w:numId w:val="1"/>
        </w:numPr>
      </w:pPr>
      <w:r w:rsidRPr="00E413F7">
        <w:t xml:space="preserve">qualification framework documents; </w:t>
      </w:r>
    </w:p>
    <w:p w14:paraId="07FD13E0" w14:textId="77777777" w:rsidR="00E413F7" w:rsidRPr="00E413F7" w:rsidRDefault="00E413F7" w:rsidP="00E413F7">
      <w:pPr>
        <w:numPr>
          <w:ilvl w:val="0"/>
          <w:numId w:val="1"/>
        </w:numPr>
      </w:pPr>
      <w:r w:rsidRPr="00E413F7">
        <w:t xml:space="preserve">principles and standards for adult education; </w:t>
      </w:r>
    </w:p>
    <w:p w14:paraId="12F03239" w14:textId="77777777" w:rsidR="00E413F7" w:rsidRPr="00E413F7" w:rsidRDefault="00E413F7" w:rsidP="00E413F7">
      <w:pPr>
        <w:numPr>
          <w:ilvl w:val="0"/>
          <w:numId w:val="1"/>
        </w:numPr>
      </w:pPr>
      <w:r w:rsidRPr="00E413F7">
        <w:t xml:space="preserve">priorities for higher education development. </w:t>
      </w:r>
    </w:p>
    <w:p w14:paraId="23C370E0" w14:textId="77777777" w:rsidR="00E413F7" w:rsidRPr="00E413F7" w:rsidRDefault="00E413F7" w:rsidP="00E413F7">
      <w:r w:rsidRPr="00E413F7">
        <w:t xml:space="preserve">The general reform aim is to improve education quality, equality and access; strengthen inclusive teaching; support staff; improve transitions between education levels; and improve access to the labour market. </w:t>
      </w:r>
    </w:p>
    <w:p w14:paraId="1BCE15BF" w14:textId="77777777" w:rsidR="00E413F7" w:rsidRPr="00E413F7" w:rsidRDefault="00E413F7" w:rsidP="00E413F7">
      <w:pPr>
        <w:rPr>
          <w:b/>
          <w:bCs/>
        </w:rPr>
      </w:pPr>
      <w:r w:rsidRPr="00E413F7">
        <w:rPr>
          <w:b/>
          <w:bCs/>
        </w:rPr>
        <w:lastRenderedPageBreak/>
        <w:t>3. Diagnosis: what problem is Bosnia and Herzegovina trying to solve?</w:t>
      </w:r>
    </w:p>
    <w:p w14:paraId="4C250818" w14:textId="77777777" w:rsidR="00E413F7" w:rsidRPr="00E413F7" w:rsidRDefault="00E413F7" w:rsidP="00E413F7">
      <w:r w:rsidRPr="00E413F7">
        <w:t>The diagnosis is partly clear but not fully strategic.</w:t>
      </w:r>
    </w:p>
    <w:p w14:paraId="43B4540A" w14:textId="77777777" w:rsidR="00E413F7" w:rsidRPr="00E413F7" w:rsidRDefault="00E413F7" w:rsidP="00E413F7">
      <w:r w:rsidRPr="00E413F7">
        <w:t>The system faces real and well-documented challenges:</w:t>
      </w:r>
    </w:p>
    <w:p w14:paraId="7808DCDF" w14:textId="77777777" w:rsidR="00E413F7" w:rsidRPr="00E413F7" w:rsidRDefault="00E413F7" w:rsidP="00E413F7">
      <w:pPr>
        <w:numPr>
          <w:ilvl w:val="0"/>
          <w:numId w:val="2"/>
        </w:numPr>
      </w:pPr>
      <w:r w:rsidRPr="00E413F7">
        <w:t xml:space="preserve">education outcomes are not well matched with labour-market needs; </w:t>
      </w:r>
    </w:p>
    <w:p w14:paraId="070E3DAB" w14:textId="77777777" w:rsidR="00E413F7" w:rsidRPr="00E413F7" w:rsidRDefault="00E413F7" w:rsidP="00E413F7">
      <w:pPr>
        <w:numPr>
          <w:ilvl w:val="0"/>
          <w:numId w:val="2"/>
        </w:numPr>
      </w:pPr>
      <w:r w:rsidRPr="00E413F7">
        <w:t xml:space="preserve">coordination among many stakeholders is insufficient; </w:t>
      </w:r>
    </w:p>
    <w:p w14:paraId="486076E7" w14:textId="77777777" w:rsidR="00E413F7" w:rsidRPr="00E413F7" w:rsidRDefault="00E413F7" w:rsidP="00E413F7">
      <w:pPr>
        <w:numPr>
          <w:ilvl w:val="0"/>
          <w:numId w:val="2"/>
        </w:numPr>
      </w:pPr>
      <w:r w:rsidRPr="00E413F7">
        <w:t xml:space="preserve">there are no common standards across education levels; </w:t>
      </w:r>
    </w:p>
    <w:p w14:paraId="37BE5515" w14:textId="77777777" w:rsidR="00E413F7" w:rsidRPr="00E413F7" w:rsidRDefault="00E413F7" w:rsidP="00E413F7">
      <w:pPr>
        <w:numPr>
          <w:ilvl w:val="0"/>
          <w:numId w:val="2"/>
        </w:numPr>
      </w:pPr>
      <w:r w:rsidRPr="00E413F7">
        <w:t xml:space="preserve">teacher training and performance evaluation differ across the system; </w:t>
      </w:r>
    </w:p>
    <w:p w14:paraId="1BD2E651" w14:textId="77777777" w:rsidR="00E413F7" w:rsidRPr="00E413F7" w:rsidRDefault="00E413F7" w:rsidP="00E413F7">
      <w:pPr>
        <w:numPr>
          <w:ilvl w:val="0"/>
          <w:numId w:val="2"/>
        </w:numPr>
      </w:pPr>
      <w:r w:rsidRPr="00E413F7">
        <w:t xml:space="preserve">participation in early childhood education is low compared with the EU and the region; </w:t>
      </w:r>
    </w:p>
    <w:p w14:paraId="04DA632F" w14:textId="77777777" w:rsidR="00E413F7" w:rsidRPr="00E413F7" w:rsidRDefault="00E413F7" w:rsidP="00E413F7">
      <w:pPr>
        <w:numPr>
          <w:ilvl w:val="0"/>
          <w:numId w:val="2"/>
        </w:numPr>
      </w:pPr>
      <w:r w:rsidRPr="00E413F7">
        <w:t xml:space="preserve">the country stopped participating in several international assessments or participated only partially; </w:t>
      </w:r>
    </w:p>
    <w:p w14:paraId="491BA690" w14:textId="77777777" w:rsidR="00E413F7" w:rsidRPr="00E413F7" w:rsidRDefault="00E413F7" w:rsidP="00E413F7">
      <w:pPr>
        <w:numPr>
          <w:ilvl w:val="0"/>
          <w:numId w:val="2"/>
        </w:numPr>
      </w:pPr>
      <w:r w:rsidRPr="00E413F7">
        <w:t xml:space="preserve">data do not systematically feed into policymaking. </w:t>
      </w:r>
    </w:p>
    <w:p w14:paraId="44D1CDC2" w14:textId="77777777" w:rsidR="00E413F7" w:rsidRPr="00E413F7" w:rsidRDefault="00E413F7" w:rsidP="00E413F7">
      <w:r w:rsidRPr="00E413F7">
        <w:t xml:space="preserve">In VET and lifelong learning, the problem is especially concrete. Many VET graduates lack sufficient practical training and struggle to find work. ETF reports that only around two fifths of VET schools provide practical training, and the quality of work-based learning opportunities is not sufficient to achieve adequate learning outcomes. </w:t>
      </w:r>
    </w:p>
    <w:p w14:paraId="3FCF7773" w14:textId="77777777" w:rsidR="00E413F7" w:rsidRPr="00E413F7" w:rsidRDefault="00E413F7" w:rsidP="00E413F7">
      <w:r w:rsidRPr="00E413F7">
        <w:t>The strategic problem can be formulated as:</w:t>
      </w:r>
    </w:p>
    <w:p w14:paraId="152646CE" w14:textId="77777777" w:rsidR="00E413F7" w:rsidRPr="00E413F7" w:rsidRDefault="00E413F7" w:rsidP="00E413F7">
      <w:r w:rsidRPr="00E413F7">
        <w:t>Bosnia and Herzegovina needs to improve education quality, labour-market relevance and equity, but the system lacks the governance coherence, common standards, data systems and implementation capacity needed to turn state-level priorities into system-wide change.</w:t>
      </w:r>
    </w:p>
    <w:p w14:paraId="78770002" w14:textId="77777777" w:rsidR="00E413F7" w:rsidRPr="00E413F7" w:rsidRDefault="00E413F7" w:rsidP="00E413F7">
      <w:pPr>
        <w:rPr>
          <w:b/>
          <w:bCs/>
        </w:rPr>
      </w:pPr>
      <w:r w:rsidRPr="00E413F7">
        <w:rPr>
          <w:b/>
          <w:bCs/>
        </w:rPr>
        <w:t>4. Guiding policy: what is the strategic approach?</w:t>
      </w:r>
    </w:p>
    <w:p w14:paraId="08484F41" w14:textId="77777777" w:rsidR="00E413F7" w:rsidRPr="00E413F7" w:rsidRDefault="00E413F7" w:rsidP="00E413F7">
      <w:r w:rsidRPr="00E413F7">
        <w:t>The official guiding policy appears to be:</w:t>
      </w:r>
    </w:p>
    <w:p w14:paraId="59153446" w14:textId="77777777" w:rsidR="00E413F7" w:rsidRPr="00E413F7" w:rsidRDefault="00E413F7" w:rsidP="00E413F7">
      <w:r w:rsidRPr="00E413F7">
        <w:t>Harmonise education reform priorities across different authorities, align education with EU frameworks, move towards competence-based education, and strengthen links between education and the labour market.</w:t>
      </w:r>
    </w:p>
    <w:p w14:paraId="1D833C18" w14:textId="77777777" w:rsidR="00E413F7" w:rsidRPr="00E413F7" w:rsidRDefault="00E413F7" w:rsidP="00E413F7">
      <w:r w:rsidRPr="00E413F7">
        <w:t xml:space="preserve">This is visible in the VET and entrepreneurial learning documents. For example, the entrepreneurial learning strategy seeks to integrate entrepreneurial and key competences into education systems in line with EU frameworks such as </w:t>
      </w:r>
      <w:proofErr w:type="spellStart"/>
      <w:r w:rsidRPr="00E413F7">
        <w:t>EntreComp</w:t>
      </w:r>
      <w:proofErr w:type="spellEnd"/>
      <w:r w:rsidRPr="00E413F7">
        <w:t xml:space="preserve">. OECD/SME Policy Index analysis describes this as a positive state-level framework supported by inter-institutional coordination. </w:t>
      </w:r>
    </w:p>
    <w:p w14:paraId="4EA53651" w14:textId="77777777" w:rsidR="00E413F7" w:rsidRPr="00E413F7" w:rsidRDefault="00E413F7" w:rsidP="00E413F7">
      <w:r w:rsidRPr="00E413F7">
        <w:lastRenderedPageBreak/>
        <w:t>However, the guiding policy is weakened by the governance structure. The state level can coordinate and promote frameworks, but implementation depends on entity, cantonal and district authorities.</w:t>
      </w:r>
    </w:p>
    <w:p w14:paraId="332193D9" w14:textId="77777777" w:rsidR="00E413F7" w:rsidRPr="00E413F7" w:rsidRDefault="00E413F7" w:rsidP="00E413F7">
      <w:pPr>
        <w:rPr>
          <w:b/>
          <w:bCs/>
        </w:rPr>
      </w:pPr>
      <w:r w:rsidRPr="00E413F7">
        <w:rPr>
          <w:b/>
          <w:bCs/>
        </w:rPr>
        <w:t>5. Coherent actions — or fragmented actions?</w:t>
      </w:r>
    </w:p>
    <w:p w14:paraId="2A31BE2E" w14:textId="77777777" w:rsidR="00E413F7" w:rsidRPr="00E413F7" w:rsidRDefault="00E413F7" w:rsidP="00E413F7">
      <w:r w:rsidRPr="00E413F7">
        <w:t>There are signs of positive action:</w:t>
      </w:r>
    </w:p>
    <w:p w14:paraId="5159B617" w14:textId="77777777" w:rsidR="00E413F7" w:rsidRPr="00E413F7" w:rsidRDefault="00E413F7" w:rsidP="00E413F7">
      <w:pPr>
        <w:numPr>
          <w:ilvl w:val="0"/>
          <w:numId w:val="3"/>
        </w:numPr>
      </w:pPr>
      <w:r w:rsidRPr="00E413F7">
        <w:t xml:space="preserve">state-level strategic documents have been adopted; </w:t>
      </w:r>
    </w:p>
    <w:p w14:paraId="79AB5FDA" w14:textId="77777777" w:rsidR="00E413F7" w:rsidRPr="00E413F7" w:rsidRDefault="00E413F7" w:rsidP="00E413F7">
      <w:pPr>
        <w:numPr>
          <w:ilvl w:val="0"/>
          <w:numId w:val="3"/>
        </w:numPr>
      </w:pPr>
      <w:r w:rsidRPr="00E413F7">
        <w:t xml:space="preserve">working groups have supported digital and entrepreneurial competences, career guidance and teacher professional development; </w:t>
      </w:r>
    </w:p>
    <w:p w14:paraId="3E8923AF" w14:textId="77777777" w:rsidR="00E413F7" w:rsidRPr="00E413F7" w:rsidRDefault="00E413F7" w:rsidP="00E413F7">
      <w:pPr>
        <w:numPr>
          <w:ilvl w:val="0"/>
          <w:numId w:val="3"/>
        </w:numPr>
      </w:pPr>
      <w:r w:rsidRPr="00E413F7">
        <w:t xml:space="preserve">learning outcomes based on </w:t>
      </w:r>
      <w:proofErr w:type="spellStart"/>
      <w:r w:rsidRPr="00E413F7">
        <w:t>EntreComp</w:t>
      </w:r>
      <w:proofErr w:type="spellEnd"/>
      <w:r w:rsidRPr="00E413F7">
        <w:t xml:space="preserve"> and </w:t>
      </w:r>
      <w:proofErr w:type="spellStart"/>
      <w:r w:rsidRPr="00E413F7">
        <w:t>DigComp</w:t>
      </w:r>
      <w:proofErr w:type="spellEnd"/>
      <w:r w:rsidRPr="00E413F7">
        <w:t xml:space="preserve"> have been developed through consultation; </w:t>
      </w:r>
    </w:p>
    <w:p w14:paraId="2E2AC339" w14:textId="77777777" w:rsidR="00E413F7" w:rsidRPr="00E413F7" w:rsidRDefault="00E413F7" w:rsidP="00E413F7">
      <w:pPr>
        <w:numPr>
          <w:ilvl w:val="0"/>
          <w:numId w:val="3"/>
        </w:numPr>
      </w:pPr>
      <w:r w:rsidRPr="00E413F7">
        <w:t xml:space="preserve">some cantons have started curriculum reform based on learning outcomes. </w:t>
      </w:r>
    </w:p>
    <w:p w14:paraId="39902298" w14:textId="77777777" w:rsidR="00E413F7" w:rsidRPr="00E413F7" w:rsidRDefault="00E413F7" w:rsidP="00E413F7">
      <w:r w:rsidRPr="00E413F7">
        <w:t xml:space="preserve">But the coherence problem is serious. OECD notes that implementation differs across entity-level education systems and that no budget was allocated to the actions in the entrepreneurial learning strategy. The European Commission reported in 2024 that Bosnia and Herzegovina is at an early stage of preparation in education and culture, that no progress was made, and that recommendations from the previous year were not implemented. </w:t>
      </w:r>
    </w:p>
    <w:p w14:paraId="698C0698" w14:textId="77777777" w:rsidR="00E413F7" w:rsidRPr="00E413F7" w:rsidRDefault="00E413F7" w:rsidP="00E413F7">
      <w:r w:rsidRPr="00E413F7">
        <w:t xml:space="preserve">The Commission also reported that a countrywide VET policy document has been in place since 2021, but “no noticeable progress followed”; it also pointed to weak digital transformation, lack of a countrywide approach, limited monitoring of education quality and insufficient use of data in policymaking. </w:t>
      </w:r>
    </w:p>
    <w:p w14:paraId="3BE5EC35" w14:textId="77777777" w:rsidR="00E413F7" w:rsidRPr="00E413F7" w:rsidRDefault="00E413F7" w:rsidP="00E413F7">
      <w:pPr>
        <w:rPr>
          <w:b/>
          <w:bCs/>
        </w:rPr>
      </w:pPr>
      <w:r w:rsidRPr="00E413F7">
        <w:rPr>
          <w:b/>
          <w:bCs/>
        </w:rPr>
        <w:t>6. Questions for participants</w:t>
      </w:r>
    </w:p>
    <w:p w14:paraId="7EA371CF" w14:textId="77777777" w:rsidR="00E413F7" w:rsidRPr="00E413F7" w:rsidRDefault="00E413F7" w:rsidP="00E413F7">
      <w:pPr>
        <w:numPr>
          <w:ilvl w:val="0"/>
          <w:numId w:val="4"/>
        </w:numPr>
      </w:pPr>
      <w:r w:rsidRPr="00E413F7">
        <w:t xml:space="preserve">What is the core education problem in Bosnia and Herzegovina? </w:t>
      </w:r>
    </w:p>
    <w:p w14:paraId="5F521A1E" w14:textId="77777777" w:rsidR="00E413F7" w:rsidRPr="00E413F7" w:rsidRDefault="00E413F7" w:rsidP="00E413F7">
      <w:pPr>
        <w:numPr>
          <w:ilvl w:val="0"/>
          <w:numId w:val="4"/>
        </w:numPr>
      </w:pPr>
      <w:r w:rsidRPr="00E413F7">
        <w:t xml:space="preserve">Is the diagnosis clear enough, or does it remain too broad? </w:t>
      </w:r>
    </w:p>
    <w:p w14:paraId="6BC0DDEB" w14:textId="77777777" w:rsidR="00E413F7" w:rsidRPr="00E413F7" w:rsidRDefault="00E413F7" w:rsidP="00E413F7">
      <w:pPr>
        <w:numPr>
          <w:ilvl w:val="0"/>
          <w:numId w:val="4"/>
        </w:numPr>
      </w:pPr>
      <w:r w:rsidRPr="00E413F7">
        <w:t xml:space="preserve">Is there a real guiding policy, or mainly a set of coordination documents? </w:t>
      </w:r>
    </w:p>
    <w:p w14:paraId="610E6539" w14:textId="77777777" w:rsidR="00E413F7" w:rsidRPr="00E413F7" w:rsidRDefault="00E413F7" w:rsidP="00E413F7">
      <w:pPr>
        <w:numPr>
          <w:ilvl w:val="0"/>
          <w:numId w:val="4"/>
        </w:numPr>
      </w:pPr>
      <w:r w:rsidRPr="00E413F7">
        <w:t xml:space="preserve">Where are the main barriers to coherent action? </w:t>
      </w:r>
    </w:p>
    <w:p w14:paraId="004E286F" w14:textId="77777777" w:rsidR="00E413F7" w:rsidRPr="00E413F7" w:rsidRDefault="00E413F7" w:rsidP="00E413F7">
      <w:pPr>
        <w:numPr>
          <w:ilvl w:val="0"/>
          <w:numId w:val="4"/>
        </w:numPr>
      </w:pPr>
      <w:r w:rsidRPr="00E413F7">
        <w:t xml:space="preserve">Does the problem lie in strategy design, implementation capacity, governance structure, resources, or all of these? </w:t>
      </w:r>
    </w:p>
    <w:p w14:paraId="5171CCF1" w14:textId="77777777" w:rsidR="00E413F7" w:rsidRPr="00E413F7" w:rsidRDefault="00E413F7" w:rsidP="00E413F7">
      <w:pPr>
        <w:numPr>
          <w:ilvl w:val="0"/>
          <w:numId w:val="4"/>
        </w:numPr>
      </w:pPr>
      <w:r w:rsidRPr="00E413F7">
        <w:t>Is this a “bad strategy”, or is it a weak strategic system? What is the difference?</w:t>
      </w:r>
    </w:p>
    <w:p w14:paraId="164A7AEF" w14:textId="77777777" w:rsidR="00047B0E" w:rsidRDefault="00047B0E"/>
    <w:sectPr w:rsidR="00047B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9D52" w14:textId="77777777" w:rsidR="00F639E3" w:rsidRDefault="00F639E3" w:rsidP="00E413F7">
      <w:pPr>
        <w:spacing w:after="0" w:line="240" w:lineRule="auto"/>
      </w:pPr>
      <w:r>
        <w:separator/>
      </w:r>
    </w:p>
  </w:endnote>
  <w:endnote w:type="continuationSeparator" w:id="0">
    <w:p w14:paraId="21AEEB0F" w14:textId="77777777" w:rsidR="00F639E3" w:rsidRDefault="00F639E3" w:rsidP="00E4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25523"/>
      <w:docPartObj>
        <w:docPartGallery w:val="Page Numbers (Bottom of Page)"/>
        <w:docPartUnique/>
      </w:docPartObj>
    </w:sdtPr>
    <w:sdtEndPr/>
    <w:sdtContent>
      <w:p w14:paraId="5089D7D4" w14:textId="09BBD9E8" w:rsidR="00E413F7" w:rsidRDefault="00E413F7">
        <w:pPr>
          <w:pStyle w:val="Footer"/>
          <w:jc w:val="right"/>
        </w:pPr>
        <w:r>
          <w:fldChar w:fldCharType="begin"/>
        </w:r>
        <w:r>
          <w:instrText>PAGE   \* MERGEFORMAT</w:instrText>
        </w:r>
        <w:r>
          <w:fldChar w:fldCharType="separate"/>
        </w:r>
        <w:r>
          <w:t>2</w:t>
        </w:r>
        <w:r>
          <w:fldChar w:fldCharType="end"/>
        </w:r>
      </w:p>
    </w:sdtContent>
  </w:sdt>
  <w:p w14:paraId="5C9383EF" w14:textId="2FA3E38C" w:rsidR="00E413F7" w:rsidRPr="00507F13" w:rsidRDefault="00507F13" w:rsidP="00507F13">
    <w:pPr>
      <w:spacing w:after="120" w:line="259" w:lineRule="auto"/>
      <w:rPr>
        <w:rFonts w:ascii="Arial" w:eastAsia="Arial" w:hAnsi="Arial" w:cs="Times New Roman"/>
        <w:b/>
        <w:caps/>
        <w:color w:val="455560"/>
        <w:spacing w:val="40"/>
        <w:kern w:val="0"/>
        <w:sz w:val="20"/>
        <w:szCs w:val="22"/>
        <w14:ligatures w14:val="none"/>
      </w:rPr>
    </w:pPr>
    <w:r w:rsidRPr="00DA5F86">
      <w:rPr>
        <w:rFonts w:ascii="Arial" w:eastAsia="Arial" w:hAnsi="Arial" w:cs="Times New Roman"/>
        <w:b/>
        <w:bCs/>
        <w:caps/>
        <w:color w:val="455560"/>
        <w:spacing w:val="40"/>
        <w:kern w:val="0"/>
        <w:sz w:val="20"/>
        <w:szCs w:val="22"/>
        <w14:ligatures w14:val="none"/>
      </w:rPr>
      <w:t>Strategic Planning for Sustainable Education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F0CF" w14:textId="77777777" w:rsidR="00F639E3" w:rsidRDefault="00F639E3" w:rsidP="00E413F7">
      <w:pPr>
        <w:spacing w:after="0" w:line="240" w:lineRule="auto"/>
      </w:pPr>
      <w:r>
        <w:separator/>
      </w:r>
    </w:p>
  </w:footnote>
  <w:footnote w:type="continuationSeparator" w:id="0">
    <w:p w14:paraId="68F7A519" w14:textId="77777777" w:rsidR="00F639E3" w:rsidRDefault="00F639E3" w:rsidP="00E4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AF9C" w14:textId="77777777" w:rsidR="001B751A" w:rsidRPr="001B751A" w:rsidRDefault="001B751A" w:rsidP="001B751A">
    <w:pPr>
      <w:pStyle w:val="Header"/>
    </w:pPr>
    <w:r w:rsidRPr="001B751A">
      <w:drawing>
        <wp:anchor distT="0" distB="0" distL="114300" distR="114300" simplePos="0" relativeHeight="251658240" behindDoc="0" locked="1" layoutInCell="1" allowOverlap="1" wp14:anchorId="333ED574" wp14:editId="0C8F9E8E">
          <wp:simplePos x="0" y="0"/>
          <wp:positionH relativeFrom="page">
            <wp:posOffset>585912</wp:posOffset>
          </wp:positionH>
          <wp:positionV relativeFrom="page">
            <wp:posOffset>76797</wp:posOffset>
          </wp:positionV>
          <wp:extent cx="934130" cy="755865"/>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1">
                    <a:extLst>
                      <a:ext uri="{28A0092B-C50C-407E-A947-70E740481C1C}">
                        <a14:useLocalDpi xmlns:a14="http://schemas.microsoft.com/office/drawing/2010/main" val="0"/>
                      </a:ext>
                    </a:extLst>
                  </a:blip>
                  <a:stretch>
                    <a:fillRect/>
                  </a:stretch>
                </pic:blipFill>
                <pic:spPr>
                  <a:xfrm>
                    <a:off x="0" y="0"/>
                    <a:ext cx="938547" cy="759439"/>
                  </a:xfrm>
                  <a:prstGeom prst="rect">
                    <a:avLst/>
                  </a:prstGeom>
                </pic:spPr>
              </pic:pic>
            </a:graphicData>
          </a:graphic>
          <wp14:sizeRelH relativeFrom="page">
            <wp14:pctWidth>0</wp14:pctWidth>
          </wp14:sizeRelH>
          <wp14:sizeRelV relativeFrom="page">
            <wp14:pctHeight>0</wp14:pctHeight>
          </wp14:sizeRelV>
        </wp:anchor>
      </w:drawing>
    </w:r>
    <w:r w:rsidRPr="001B751A">
      <w:drawing>
        <wp:anchor distT="0" distB="0" distL="114300" distR="114300" simplePos="0" relativeHeight="251658241" behindDoc="0" locked="1" layoutInCell="1" allowOverlap="1" wp14:anchorId="7CC27823" wp14:editId="4B87CCA7">
          <wp:simplePos x="0" y="0"/>
          <wp:positionH relativeFrom="rightMargin">
            <wp:posOffset>-171829</wp:posOffset>
          </wp:positionH>
          <wp:positionV relativeFrom="page">
            <wp:posOffset>297799</wp:posOffset>
          </wp:positionV>
          <wp:extent cx="611736" cy="495241"/>
          <wp:effectExtent l="0" t="0" r="0" b="63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619118" cy="501217"/>
                  </a:xfrm>
                  <a:prstGeom prst="rect">
                    <a:avLst/>
                  </a:prstGeom>
                </pic:spPr>
              </pic:pic>
            </a:graphicData>
          </a:graphic>
          <wp14:sizeRelH relativeFrom="margin">
            <wp14:pctWidth>0</wp14:pctWidth>
          </wp14:sizeRelH>
          <wp14:sizeRelV relativeFrom="margin">
            <wp14:pctHeight>0</wp14:pctHeight>
          </wp14:sizeRelV>
        </wp:anchor>
      </w:drawing>
    </w:r>
    <w:r w:rsidRPr="001B751A">
      <w:drawing>
        <wp:anchor distT="0" distB="0" distL="114300" distR="114300" simplePos="0" relativeHeight="251658242" behindDoc="1" locked="0" layoutInCell="1" allowOverlap="1" wp14:anchorId="33C2F8E9" wp14:editId="59D3DF1B">
          <wp:simplePos x="0" y="0"/>
          <wp:positionH relativeFrom="margin">
            <wp:posOffset>2222205</wp:posOffset>
          </wp:positionH>
          <wp:positionV relativeFrom="paragraph">
            <wp:posOffset>-130514</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a16="http://schemas.microsoft.com/office/drawing/2014/main" id="{D88697F2-BE86-1D2D-2CB5-B747FA7B90B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37120" cy="500391"/>
                  </a:xfrm>
                  <a:prstGeom prst="rect">
                    <a:avLst/>
                  </a:prstGeom>
                </pic:spPr>
              </pic:pic>
            </a:graphicData>
          </a:graphic>
          <wp14:sizeRelH relativeFrom="page">
            <wp14:pctWidth>0</wp14:pctWidth>
          </wp14:sizeRelH>
          <wp14:sizeRelV relativeFrom="page">
            <wp14:pctHeight>0</wp14:pctHeight>
          </wp14:sizeRelV>
        </wp:anchor>
      </w:drawing>
    </w:r>
  </w:p>
  <w:p w14:paraId="581B8C58" w14:textId="77777777" w:rsidR="001B751A" w:rsidRDefault="001B7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5F82"/>
    <w:multiLevelType w:val="multilevel"/>
    <w:tmpl w:val="B32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36FD5"/>
    <w:multiLevelType w:val="multilevel"/>
    <w:tmpl w:val="1E9C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F2449"/>
    <w:multiLevelType w:val="multilevel"/>
    <w:tmpl w:val="89B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12149"/>
    <w:multiLevelType w:val="multilevel"/>
    <w:tmpl w:val="565A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897262">
    <w:abstractNumId w:val="0"/>
  </w:num>
  <w:num w:numId="2" w16cid:durableId="2086876201">
    <w:abstractNumId w:val="2"/>
  </w:num>
  <w:num w:numId="3" w16cid:durableId="1325821752">
    <w:abstractNumId w:val="3"/>
  </w:num>
  <w:num w:numId="4" w16cid:durableId="76739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7"/>
    <w:rsid w:val="00047B0E"/>
    <w:rsid w:val="00060B11"/>
    <w:rsid w:val="00060CD4"/>
    <w:rsid w:val="0018041F"/>
    <w:rsid w:val="001B751A"/>
    <w:rsid w:val="002B2E32"/>
    <w:rsid w:val="004055AA"/>
    <w:rsid w:val="00482313"/>
    <w:rsid w:val="00507F13"/>
    <w:rsid w:val="005C5D02"/>
    <w:rsid w:val="00771CF2"/>
    <w:rsid w:val="00806F61"/>
    <w:rsid w:val="009C78F1"/>
    <w:rsid w:val="00C84B86"/>
    <w:rsid w:val="00E413F7"/>
    <w:rsid w:val="00EA69FD"/>
    <w:rsid w:val="00EC4F22"/>
    <w:rsid w:val="00F515F8"/>
    <w:rsid w:val="00F639E3"/>
    <w:rsid w:val="00F91374"/>
    <w:rsid w:val="00FD01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7E0F"/>
  <w15:chartTrackingRefBased/>
  <w15:docId w15:val="{4C998E0A-4DB8-409B-8AAB-10D8BD6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3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1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3F7"/>
    <w:rPr>
      <w:rFonts w:eastAsiaTheme="majorEastAsia" w:cstheme="majorBidi"/>
      <w:color w:val="272727" w:themeColor="text1" w:themeTint="D8"/>
    </w:rPr>
  </w:style>
  <w:style w:type="paragraph" w:styleId="Title">
    <w:name w:val="Title"/>
    <w:basedOn w:val="Normal"/>
    <w:next w:val="Normal"/>
    <w:link w:val="TitleChar"/>
    <w:uiPriority w:val="10"/>
    <w:qFormat/>
    <w:rsid w:val="00E41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3F7"/>
    <w:pPr>
      <w:spacing w:before="160"/>
      <w:jc w:val="center"/>
    </w:pPr>
    <w:rPr>
      <w:i/>
      <w:iCs/>
      <w:color w:val="404040" w:themeColor="text1" w:themeTint="BF"/>
    </w:rPr>
  </w:style>
  <w:style w:type="character" w:customStyle="1" w:styleId="QuoteChar">
    <w:name w:val="Quote Char"/>
    <w:basedOn w:val="DefaultParagraphFont"/>
    <w:link w:val="Quote"/>
    <w:uiPriority w:val="29"/>
    <w:rsid w:val="00E413F7"/>
    <w:rPr>
      <w:i/>
      <w:iCs/>
      <w:color w:val="404040" w:themeColor="text1" w:themeTint="BF"/>
    </w:rPr>
  </w:style>
  <w:style w:type="paragraph" w:styleId="ListParagraph">
    <w:name w:val="List Paragraph"/>
    <w:basedOn w:val="Normal"/>
    <w:uiPriority w:val="34"/>
    <w:qFormat/>
    <w:rsid w:val="00E413F7"/>
    <w:pPr>
      <w:ind w:left="720"/>
      <w:contextualSpacing/>
    </w:pPr>
  </w:style>
  <w:style w:type="character" w:styleId="IntenseEmphasis">
    <w:name w:val="Intense Emphasis"/>
    <w:basedOn w:val="DefaultParagraphFont"/>
    <w:uiPriority w:val="21"/>
    <w:qFormat/>
    <w:rsid w:val="00E413F7"/>
    <w:rPr>
      <w:i/>
      <w:iCs/>
      <w:color w:val="0F4761" w:themeColor="accent1" w:themeShade="BF"/>
    </w:rPr>
  </w:style>
  <w:style w:type="paragraph" w:styleId="IntenseQuote">
    <w:name w:val="Intense Quote"/>
    <w:basedOn w:val="Normal"/>
    <w:next w:val="Normal"/>
    <w:link w:val="IntenseQuoteChar"/>
    <w:uiPriority w:val="30"/>
    <w:qFormat/>
    <w:rsid w:val="00E4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3F7"/>
    <w:rPr>
      <w:i/>
      <w:iCs/>
      <w:color w:val="0F4761" w:themeColor="accent1" w:themeShade="BF"/>
    </w:rPr>
  </w:style>
  <w:style w:type="character" w:styleId="IntenseReference">
    <w:name w:val="Intense Reference"/>
    <w:basedOn w:val="DefaultParagraphFont"/>
    <w:uiPriority w:val="32"/>
    <w:qFormat/>
    <w:rsid w:val="00E413F7"/>
    <w:rPr>
      <w:b/>
      <w:bCs/>
      <w:smallCaps/>
      <w:color w:val="0F4761" w:themeColor="accent1" w:themeShade="BF"/>
      <w:spacing w:val="5"/>
    </w:rPr>
  </w:style>
  <w:style w:type="paragraph" w:styleId="Header">
    <w:name w:val="header"/>
    <w:basedOn w:val="Normal"/>
    <w:link w:val="HeaderChar"/>
    <w:uiPriority w:val="99"/>
    <w:unhideWhenUsed/>
    <w:rsid w:val="00E4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3F7"/>
  </w:style>
  <w:style w:type="paragraph" w:styleId="Footer">
    <w:name w:val="footer"/>
    <w:basedOn w:val="Normal"/>
    <w:link w:val="FooterChar"/>
    <w:uiPriority w:val="99"/>
    <w:unhideWhenUsed/>
    <w:rsid w:val="00E4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DMSPOL-593052326-20812</_dlc_DocId>
    <_dlc_DocIdUrl xmlns="b3144a11-e500-4ade-8fe4-7de3e8b2f8df">
      <Url>https://europeantrainingfoundation.sharepoint.com/sites/PAU/_layouts/15/DocIdRedir.aspx?ID=DMSPOL-593052326-20812</Url>
      <Description>DMSPOL-593052326-20812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B307-2DF2-4A00-8728-366C2E8DDB54}">
  <ds:schemaRefs>
    <ds:schemaRef ds:uri="http://schemas.microsoft.com/sharepoint/events"/>
  </ds:schemaRefs>
</ds:datastoreItem>
</file>

<file path=customXml/itemProps2.xml><?xml version="1.0" encoding="utf-8"?>
<ds:datastoreItem xmlns:ds="http://schemas.openxmlformats.org/officeDocument/2006/customXml" ds:itemID="{E75191E1-9380-4B0C-865A-AA6BD233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c7a77-a186-4b33-ad65-f5fdf95755b4"/>
    <ds:schemaRef ds:uri="b3144a11-e500-4ade-8fe4-7de3e8b2f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B5F1C-19FE-454A-BB00-41C0695F98EF}">
  <ds:schemaRefs>
    <ds:schemaRef ds:uri="http://schemas.microsoft.com/office/2006/metadata/properties"/>
    <ds:schemaRef ds:uri="http://schemas.microsoft.com/office/infopath/2007/PartnerControls"/>
    <ds:schemaRef ds:uri="834c7a77-a186-4b33-ad65-f5fdf95755b4"/>
    <ds:schemaRef ds:uri="b3144a11-e500-4ade-8fe4-7de3e8b2f8df"/>
  </ds:schemaRefs>
</ds:datastoreItem>
</file>

<file path=customXml/itemProps4.xml><?xml version="1.0" encoding="utf-8"?>
<ds:datastoreItem xmlns:ds="http://schemas.openxmlformats.org/officeDocument/2006/customXml" ds:itemID="{15EE8EAE-3102-49B2-BA4B-49539E130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Stronkowski (ETF)</dc:creator>
  <cp:keywords/>
  <dc:description/>
  <cp:lastModifiedBy>Piotr Stronkowski (ETF)</cp:lastModifiedBy>
  <cp:revision>2</cp:revision>
  <dcterms:created xsi:type="dcterms:W3CDTF">2026-04-29T13:53:00Z</dcterms:created>
  <dcterms:modified xsi:type="dcterms:W3CDTF">2026-04-29T13:53:00Z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0x010100C45B698B556D0B4C9502A5ACF2AED6A9</vt:lpwstr>
  </property>
  <property fmtid="{D5CDD505-2E9C-101B-9397-08002B2CF9AE}" pid="3" name="_dlc_DocIdItemGuid">
    <vt:lpwstr>364263d9-7feb-49d1-80ed-0e7630c046ee</vt:lpwstr>
  </property>
  <property fmtid="{D5CDD505-2E9C-101B-9397-08002B2CF9AE}" pid="4" name="MediaServiceImageTags">
    <vt:lpwstr/>
  </property>
  <property fmtid="{D5CDD505-2E9C-101B-9397-08002B2CF9AE}" pid="6" name="docLang">
    <vt:lpwstr>en</vt:lpwstr>
  </property>
</Properties>
</file>