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1CEE4" w14:textId="77777777" w:rsidR="00E413F7" w:rsidRPr="00E413F7" w:rsidRDefault="00E413F7" w:rsidP="00C84B86">
      <w:pPr>
        <w:pStyle w:val="Heading1"/>
      </w:pPr>
      <w:r>
        <w:rPr>
          <w:lang w:val="ro"/>
        </w:rPr>
        <w:t>Studiul de caz nr. 2 — Bosnia și Herțegovina</w:t>
      </w:r>
    </w:p>
    <w:p w14:paraId="4ECABDF8" w14:textId="77777777" w:rsidR="00E413F7" w:rsidRPr="00E413F7" w:rsidRDefault="00E413F7" w:rsidP="00C84B86">
      <w:pPr>
        <w:pStyle w:val="Heading2"/>
      </w:pPr>
      <w:r>
        <w:rPr>
          <w:lang w:val="ro"/>
        </w:rPr>
        <w:t xml:space="preserve"> Reforma educației într-un sistem de guvernanță fragmentat: Strategie sau lacună strategică?</w:t>
      </w:r>
    </w:p>
    <w:p w14:paraId="52E6B554" w14:textId="77777777" w:rsidR="00E413F7" w:rsidRPr="00E413F7" w:rsidRDefault="00E413F7" w:rsidP="005C5D02">
      <w:pPr>
        <w:spacing w:before="240"/>
        <w:rPr>
          <w:b/>
          <w:bCs/>
        </w:rPr>
      </w:pPr>
      <w:r>
        <w:rPr>
          <w:b/>
          <w:bCs/>
          <w:lang w:val="ro"/>
        </w:rPr>
        <w:t>1. Context</w:t>
      </w:r>
    </w:p>
    <w:p w14:paraId="77C72703" w14:textId="77777777" w:rsidR="00E413F7" w:rsidRPr="00E413F7" w:rsidRDefault="00E413F7" w:rsidP="00E413F7">
      <w:r>
        <w:rPr>
          <w:lang w:val="ro"/>
        </w:rPr>
        <w:t xml:space="preserve">Bosnia și Herțegovina are unul dintre cele mai complexe sisteme de guvernanță a educației din Europa. Competențele în educație sunt definite de Constituția statului, de constituțiile entităților și ale cantoanelor, precum și de Statutul Districtului Brčko. Eurydice identifică </w:t>
      </w:r>
      <w:r>
        <w:rPr>
          <w:b/>
          <w:bCs/>
          <w:lang w:val="ro"/>
        </w:rPr>
        <w:t>douăsprezece instituții responsabile pentru educație</w:t>
      </w:r>
      <w:r>
        <w:rPr>
          <w:lang w:val="ro"/>
        </w:rPr>
        <w:t xml:space="preserve">: Ministerul Educației și Culturii din Republika Srpska, zece ministere cantonale din Federația Bosniei și Herțegovinei și Departamentul pentru Educație al Districtului Brčko. De asemenea, la nivel de stat, Ministerul Federal al Educației și Științei și Ministerul Afacerilor Civile au roluri de coordonare. </w:t>
      </w:r>
    </w:p>
    <w:p w14:paraId="2E309394" w14:textId="77777777" w:rsidR="00E413F7" w:rsidRPr="00E413F7" w:rsidRDefault="00E413F7" w:rsidP="00E413F7">
      <w:r>
        <w:rPr>
          <w:lang w:val="ro"/>
        </w:rPr>
        <w:t xml:space="preserve">Procesele de reformă se desfășoară în cooperare cu </w:t>
      </w:r>
      <w:r>
        <w:rPr>
          <w:b/>
          <w:bCs/>
          <w:lang w:val="ro"/>
        </w:rPr>
        <w:t>14 instituții competente din domeniul educației</w:t>
      </w:r>
      <w:r>
        <w:rPr>
          <w:lang w:val="ro"/>
        </w:rPr>
        <w:t xml:space="preserve">. Ministerul Afacerilor Civile coordonează, dar autoritățile competente din domeniul educației au autonomie în reglementarea propriilor sisteme. </w:t>
      </w:r>
    </w:p>
    <w:p w14:paraId="189A676A" w14:textId="77777777" w:rsidR="00E413F7" w:rsidRPr="00E413F7" w:rsidRDefault="00E413F7" w:rsidP="00E413F7">
      <w:r>
        <w:rPr>
          <w:lang w:val="ro"/>
        </w:rPr>
        <w:t>Prin urmare, Bosnia și Herțegovina nu are un singur minister al educației cu autoritate deplină asupra întregului sistem. În schimb, există un ansamblu de cadre la nivel de stat, politici la nivel de entitate și de canton, precum și documente strategice specifice sectoarelor.</w:t>
      </w:r>
    </w:p>
    <w:p w14:paraId="767E0E65" w14:textId="77777777" w:rsidR="00E413F7" w:rsidRPr="00E413F7" w:rsidRDefault="00E413F7" w:rsidP="00E413F7">
      <w:pPr>
        <w:rPr>
          <w:b/>
          <w:bCs/>
        </w:rPr>
      </w:pPr>
      <w:r>
        <w:rPr>
          <w:b/>
          <w:bCs/>
          <w:lang w:val="ro"/>
        </w:rPr>
        <w:t>2. Tabloul strategic</w:t>
      </w:r>
    </w:p>
    <w:p w14:paraId="5CFB1E11" w14:textId="17B3F942" w:rsidR="00E413F7" w:rsidRPr="00E413F7" w:rsidRDefault="00E413F7" w:rsidP="00E413F7">
      <w:r>
        <w:rPr>
          <w:lang w:val="ro"/>
        </w:rPr>
        <w:t xml:space="preserve">La nivel de stat există mai multe documente de politici </w:t>
      </w:r>
      <w:r w:rsidR="00C311C1">
        <w:rPr>
          <w:lang w:val="ro"/>
        </w:rPr>
        <w:t>cu privire la</w:t>
      </w:r>
      <w:r>
        <w:rPr>
          <w:lang w:val="ro"/>
        </w:rPr>
        <w:t xml:space="preserve"> </w:t>
      </w:r>
      <w:r w:rsidR="00C311C1">
        <w:rPr>
          <w:lang w:val="ro"/>
        </w:rPr>
        <w:t>educație, inclusiv</w:t>
      </w:r>
      <w:r>
        <w:rPr>
          <w:lang w:val="ro"/>
        </w:rPr>
        <w:t>:</w:t>
      </w:r>
    </w:p>
    <w:p w14:paraId="28BD693D" w14:textId="77777777" w:rsidR="00E413F7" w:rsidRPr="00E413F7" w:rsidRDefault="00E413F7" w:rsidP="00E413F7">
      <w:pPr>
        <w:numPr>
          <w:ilvl w:val="0"/>
          <w:numId w:val="1"/>
        </w:numPr>
      </w:pPr>
      <w:r>
        <w:rPr>
          <w:lang w:val="ro"/>
        </w:rPr>
        <w:t xml:space="preserve">ghiduri pentru predarea online și mixtă; </w:t>
      </w:r>
    </w:p>
    <w:p w14:paraId="057B14B1" w14:textId="77777777" w:rsidR="00E413F7" w:rsidRPr="00E413F7" w:rsidRDefault="00E413F7" w:rsidP="00E413F7">
      <w:pPr>
        <w:numPr>
          <w:ilvl w:val="0"/>
          <w:numId w:val="1"/>
        </w:numPr>
      </w:pPr>
      <w:r>
        <w:rPr>
          <w:b/>
          <w:bCs/>
          <w:lang w:val="ro"/>
        </w:rPr>
        <w:t>Îmbunătățirea calității și relevanței educației și formării profesionale în Bosnia și Herțegovina în lumina Concluziilor de la Riga din perioada 2021–2030;</w:t>
      </w:r>
      <w:r>
        <w:rPr>
          <w:lang w:val="ro"/>
        </w:rPr>
        <w:t xml:space="preserve"> </w:t>
      </w:r>
    </w:p>
    <w:p w14:paraId="5DD5815F" w14:textId="77777777" w:rsidR="00E413F7" w:rsidRPr="00E413F7" w:rsidRDefault="00E413F7" w:rsidP="00E413F7">
      <w:pPr>
        <w:numPr>
          <w:ilvl w:val="0"/>
          <w:numId w:val="1"/>
        </w:numPr>
      </w:pPr>
      <w:r>
        <w:rPr>
          <w:b/>
          <w:bCs/>
          <w:lang w:val="ro"/>
        </w:rPr>
        <w:t>Priorități privind integrarea învățării antreprenoriale și a competențelor-cheie antreprenoriale în sistemele de educație din Bosnia și Herțegovina 2021–2030;</w:t>
      </w:r>
      <w:r>
        <w:rPr>
          <w:lang w:val="ro"/>
        </w:rPr>
        <w:t xml:space="preserve"> </w:t>
      </w:r>
    </w:p>
    <w:p w14:paraId="62D106C1" w14:textId="77777777" w:rsidR="00E413F7" w:rsidRPr="00E413F7" w:rsidRDefault="00E413F7" w:rsidP="00E413F7">
      <w:pPr>
        <w:numPr>
          <w:ilvl w:val="0"/>
          <w:numId w:val="1"/>
        </w:numPr>
      </w:pPr>
      <w:r>
        <w:rPr>
          <w:lang w:val="ro"/>
        </w:rPr>
        <w:t xml:space="preserve">documente privind cadrul calificărilor; </w:t>
      </w:r>
    </w:p>
    <w:p w14:paraId="07FD13E0" w14:textId="77777777" w:rsidR="00E413F7" w:rsidRPr="00E413F7" w:rsidRDefault="00E413F7" w:rsidP="00E413F7">
      <w:pPr>
        <w:numPr>
          <w:ilvl w:val="0"/>
          <w:numId w:val="1"/>
        </w:numPr>
      </w:pPr>
      <w:r>
        <w:rPr>
          <w:lang w:val="ro"/>
        </w:rPr>
        <w:t xml:space="preserve">principii și standarde pentru educația adulților; </w:t>
      </w:r>
    </w:p>
    <w:p w14:paraId="12F03239" w14:textId="77777777" w:rsidR="00E413F7" w:rsidRPr="00E413F7" w:rsidRDefault="00E413F7" w:rsidP="00E413F7">
      <w:pPr>
        <w:numPr>
          <w:ilvl w:val="0"/>
          <w:numId w:val="1"/>
        </w:numPr>
      </w:pPr>
      <w:r>
        <w:rPr>
          <w:lang w:val="ro"/>
        </w:rPr>
        <w:t xml:space="preserve">priorități pentru dezvoltarea învățământului superior. </w:t>
      </w:r>
    </w:p>
    <w:p w14:paraId="23C370E0" w14:textId="7663EE0D" w:rsidR="00E413F7" w:rsidRPr="00E413F7" w:rsidRDefault="00C311C1" w:rsidP="00E413F7">
      <w:r>
        <w:rPr>
          <w:lang w:val="ro"/>
        </w:rPr>
        <w:lastRenderedPageBreak/>
        <w:t>Reforma are drept o</w:t>
      </w:r>
      <w:r w:rsidR="00E413F7">
        <w:rPr>
          <w:lang w:val="ro"/>
        </w:rPr>
        <w:t xml:space="preserve">biectiv general îmbunătățirea calității educației, a egalității și a accesului, consolidarea predării incluzive, sprijinirea personalului, îmbunătățirea tranzițiilor între nivelurile de învățământ și facilitarea accesului la piața muncii. </w:t>
      </w:r>
    </w:p>
    <w:p w14:paraId="1BCE15BF" w14:textId="77777777" w:rsidR="00E413F7" w:rsidRPr="00E413F7" w:rsidRDefault="00E413F7" w:rsidP="00E413F7">
      <w:pPr>
        <w:rPr>
          <w:b/>
          <w:bCs/>
        </w:rPr>
      </w:pPr>
      <w:r>
        <w:rPr>
          <w:b/>
          <w:bCs/>
          <w:lang w:val="ro"/>
        </w:rPr>
        <w:t>3. Diagnostic: Ce problemă încearcă să rezolve Bosnia și Herțegovina?</w:t>
      </w:r>
    </w:p>
    <w:p w14:paraId="4C250818" w14:textId="77777777" w:rsidR="00E413F7" w:rsidRPr="00E413F7" w:rsidRDefault="00E413F7" w:rsidP="00E413F7">
      <w:r>
        <w:rPr>
          <w:lang w:val="ro"/>
        </w:rPr>
        <w:t>Diagnosticul este parțial clar, dar nu pe deplin strategic.</w:t>
      </w:r>
    </w:p>
    <w:p w14:paraId="43B4540A" w14:textId="77777777" w:rsidR="00E413F7" w:rsidRPr="00E413F7" w:rsidRDefault="00E413F7" w:rsidP="00E413F7">
      <w:r>
        <w:rPr>
          <w:lang w:val="ro"/>
        </w:rPr>
        <w:t>Sistemul se confruntă cu provocări reale și bine documentate:</w:t>
      </w:r>
    </w:p>
    <w:p w14:paraId="7808DCDF" w14:textId="77777777" w:rsidR="00E413F7" w:rsidRPr="00E413F7" w:rsidRDefault="00E413F7" w:rsidP="00E413F7">
      <w:pPr>
        <w:numPr>
          <w:ilvl w:val="0"/>
          <w:numId w:val="2"/>
        </w:numPr>
      </w:pPr>
      <w:r>
        <w:rPr>
          <w:lang w:val="ro"/>
        </w:rPr>
        <w:t xml:space="preserve">rezultatele învățării nu sunt bine corelate cu nevoile pieței muncii; </w:t>
      </w:r>
    </w:p>
    <w:p w14:paraId="070E3DAB" w14:textId="77777777" w:rsidR="00E413F7" w:rsidRPr="00E413F7" w:rsidRDefault="00E413F7" w:rsidP="00E413F7">
      <w:pPr>
        <w:numPr>
          <w:ilvl w:val="0"/>
          <w:numId w:val="2"/>
        </w:numPr>
      </w:pPr>
      <w:r>
        <w:rPr>
          <w:lang w:val="ro"/>
        </w:rPr>
        <w:t xml:space="preserve">coordonarea între numeroșii actori implicați este insuficientă; </w:t>
      </w:r>
    </w:p>
    <w:p w14:paraId="486076E7" w14:textId="77777777" w:rsidR="00E413F7" w:rsidRPr="00E413F7" w:rsidRDefault="00E413F7" w:rsidP="00E413F7">
      <w:pPr>
        <w:numPr>
          <w:ilvl w:val="0"/>
          <w:numId w:val="2"/>
        </w:numPr>
      </w:pPr>
      <w:r>
        <w:rPr>
          <w:lang w:val="ro"/>
        </w:rPr>
        <w:t xml:space="preserve">nu există standarde comune la toate nivelurile de învățământ; </w:t>
      </w:r>
    </w:p>
    <w:p w14:paraId="37BE5515" w14:textId="77777777" w:rsidR="00E413F7" w:rsidRPr="00E413F7" w:rsidRDefault="00E413F7" w:rsidP="00E413F7">
      <w:pPr>
        <w:numPr>
          <w:ilvl w:val="0"/>
          <w:numId w:val="2"/>
        </w:numPr>
      </w:pPr>
      <w:r>
        <w:rPr>
          <w:lang w:val="ro"/>
        </w:rPr>
        <w:t xml:space="preserve">formarea cadrelor didactice și evaluarea performanței diferă la nivelul întregului sistem; </w:t>
      </w:r>
    </w:p>
    <w:p w14:paraId="1BD2E651" w14:textId="77777777" w:rsidR="00E413F7" w:rsidRPr="00E413F7" w:rsidRDefault="00E413F7" w:rsidP="00E413F7">
      <w:pPr>
        <w:numPr>
          <w:ilvl w:val="0"/>
          <w:numId w:val="2"/>
        </w:numPr>
      </w:pPr>
      <w:r>
        <w:rPr>
          <w:lang w:val="ro"/>
        </w:rPr>
        <w:t xml:space="preserve">participarea în educația timpurie este scăzută în comparație cu UE și cu regiunea; </w:t>
      </w:r>
    </w:p>
    <w:p w14:paraId="04DA632F" w14:textId="77777777" w:rsidR="00E413F7" w:rsidRPr="00E413F7" w:rsidRDefault="00E413F7" w:rsidP="00E413F7">
      <w:pPr>
        <w:numPr>
          <w:ilvl w:val="0"/>
          <w:numId w:val="2"/>
        </w:numPr>
      </w:pPr>
      <w:r>
        <w:rPr>
          <w:lang w:val="ro"/>
        </w:rPr>
        <w:t xml:space="preserve">țara a încetat să participe la mai multe evaluări internaționale sau a participat doar parțial; </w:t>
      </w:r>
    </w:p>
    <w:p w14:paraId="491BA690" w14:textId="77777777" w:rsidR="00E413F7" w:rsidRPr="00E413F7" w:rsidRDefault="00E413F7" w:rsidP="00E413F7">
      <w:pPr>
        <w:numPr>
          <w:ilvl w:val="0"/>
          <w:numId w:val="2"/>
        </w:numPr>
      </w:pPr>
      <w:r>
        <w:rPr>
          <w:lang w:val="ro"/>
        </w:rPr>
        <w:t xml:space="preserve">datele nu sunt utilizate în mod sistematic în procesul de elaborare a politicilor. </w:t>
      </w:r>
    </w:p>
    <w:p w14:paraId="44D1CDC2" w14:textId="77777777" w:rsidR="00E413F7" w:rsidRPr="00E413F7" w:rsidRDefault="00E413F7" w:rsidP="00E413F7">
      <w:r>
        <w:rPr>
          <w:lang w:val="ro"/>
        </w:rPr>
        <w:t xml:space="preserve">În ÎPT și în învățarea pe tot parcursul vieții, problema este deosebit de concretă. Mulți absolvenți ai ÎPT nu au suficientă pregătire practică și au dificultăți în a găsi un loc de muncă. ETF raportează că doar aproximativ două cincimi dintre școlile ÎPT oferă pregătire practică, iar calitatea oportunităților de învățare la locul de muncă nu este suficientă pentru a obține rezultatele învățării adecvate. </w:t>
      </w:r>
    </w:p>
    <w:p w14:paraId="3FCF7773" w14:textId="77777777" w:rsidR="00E413F7" w:rsidRPr="00E413F7" w:rsidRDefault="00E413F7" w:rsidP="00E413F7">
      <w:r>
        <w:rPr>
          <w:lang w:val="ro"/>
        </w:rPr>
        <w:t>Problema strategică poate fi formulată astfel:</w:t>
      </w:r>
    </w:p>
    <w:p w14:paraId="152646CE" w14:textId="77777777" w:rsidR="00E413F7" w:rsidRPr="00E413F7" w:rsidRDefault="00E413F7" w:rsidP="00E413F7">
      <w:r>
        <w:rPr>
          <w:lang w:val="ro"/>
        </w:rPr>
        <w:t>Bosnia și Herțegovina trebuie să îmbunătățească calitatea educației, relevanța pentru piața muncii și echitatea, dar sistemului îi lipsesc coerența guvernanței, standardele comune, sistemele de date și capacitatea de implementare necesare pentru a transforma prioritățile de la nivel de stat într-o schimbare la nivelul întregului sistem.</w:t>
      </w:r>
    </w:p>
    <w:p w14:paraId="78770002" w14:textId="77777777" w:rsidR="00E413F7" w:rsidRPr="00E413F7" w:rsidRDefault="00E413F7" w:rsidP="00E413F7">
      <w:pPr>
        <w:rPr>
          <w:b/>
          <w:bCs/>
        </w:rPr>
      </w:pPr>
      <w:r>
        <w:rPr>
          <w:b/>
          <w:bCs/>
          <w:lang w:val="ro"/>
        </w:rPr>
        <w:t xml:space="preserve">4. Politică de orientare: care este abordarea strategică? </w:t>
      </w:r>
    </w:p>
    <w:p w14:paraId="08484F41" w14:textId="77777777" w:rsidR="00E413F7" w:rsidRPr="00E413F7" w:rsidRDefault="00E413F7" w:rsidP="00E413F7">
      <w:r>
        <w:rPr>
          <w:lang w:val="ro"/>
        </w:rPr>
        <w:t>Politica oficială de orientare pare să fie:</w:t>
      </w:r>
    </w:p>
    <w:p w14:paraId="59153446" w14:textId="77777777" w:rsidR="00E413F7" w:rsidRPr="00E413F7" w:rsidRDefault="00E413F7" w:rsidP="00E413F7">
      <w:r>
        <w:rPr>
          <w:lang w:val="ro"/>
        </w:rPr>
        <w:t>Armonizarea priorităților de reformă a educației între diferite autorități, alinierea educației la cadrele UE, trecerea la educația bazată pe competențe și consolidarea legăturilor dintre educație și piața muncii.</w:t>
      </w:r>
    </w:p>
    <w:p w14:paraId="1D833C18" w14:textId="77777777" w:rsidR="00E413F7" w:rsidRPr="00E413F7" w:rsidRDefault="00E413F7" w:rsidP="00E413F7">
      <w:r>
        <w:rPr>
          <w:lang w:val="ro"/>
        </w:rPr>
        <w:t xml:space="preserve">Acest lucru este vizibil în documentele privind ÎPT și învățarea antreprenorială. De exemplu, strategia de învățare antreprenorială urmărește integrarea competențelor antreprenoriale și competențelor-cheie în sistemele de educație, în conformitate cu </w:t>
      </w:r>
      <w:r>
        <w:rPr>
          <w:lang w:val="ro"/>
        </w:rPr>
        <w:lastRenderedPageBreak/>
        <w:t>cadrele UE precum EntreComp. Analiza Indicelui de politici pentru IMM</w:t>
      </w:r>
      <w:r>
        <w:rPr>
          <w:lang w:val="ro"/>
        </w:rPr>
        <w:noBreakHyphen/>
        <w:t xml:space="preserve">uri al OCDE o descrie drept un cadru pozitiv la nivel de stat, sprijinit de coordonare interinstituțională. </w:t>
      </w:r>
    </w:p>
    <w:p w14:paraId="4EA53651" w14:textId="77777777" w:rsidR="00E413F7" w:rsidRPr="00E413F7" w:rsidRDefault="00E413F7" w:rsidP="00E413F7">
      <w:r>
        <w:rPr>
          <w:lang w:val="ro"/>
        </w:rPr>
        <w:t>Totuși, politica de orientare este slăbită de structura de guvernanță. La nivel de stat se pot coordona și promova cadrele, dar implementarea cade în sarcina autorităților entităților, a cantoanelor și a districtului.</w:t>
      </w:r>
    </w:p>
    <w:p w14:paraId="332193D9" w14:textId="77777777" w:rsidR="00E413F7" w:rsidRPr="00E413F7" w:rsidRDefault="00E413F7" w:rsidP="00E413F7">
      <w:pPr>
        <w:rPr>
          <w:b/>
          <w:bCs/>
        </w:rPr>
      </w:pPr>
      <w:r>
        <w:rPr>
          <w:b/>
          <w:bCs/>
          <w:lang w:val="ro"/>
        </w:rPr>
        <w:t>5. Acțiuni coerente — sau acțiuni fragmentate?</w:t>
      </w:r>
    </w:p>
    <w:p w14:paraId="2A31BE2E" w14:textId="77777777" w:rsidR="00E413F7" w:rsidRPr="00E413F7" w:rsidRDefault="00E413F7" w:rsidP="00E413F7">
      <w:r>
        <w:rPr>
          <w:lang w:val="ro"/>
        </w:rPr>
        <w:t>Există semne de acțiuni pozitive:</w:t>
      </w:r>
    </w:p>
    <w:p w14:paraId="5159B617" w14:textId="77777777" w:rsidR="00E413F7" w:rsidRPr="00E413F7" w:rsidRDefault="00E413F7" w:rsidP="00E413F7">
      <w:pPr>
        <w:numPr>
          <w:ilvl w:val="0"/>
          <w:numId w:val="3"/>
        </w:numPr>
      </w:pPr>
      <w:r>
        <w:rPr>
          <w:lang w:val="ro"/>
        </w:rPr>
        <w:t xml:space="preserve">au fost adoptate documente strategice la nivel de stat; </w:t>
      </w:r>
    </w:p>
    <w:p w14:paraId="79AB5FDA" w14:textId="77777777" w:rsidR="00E413F7" w:rsidRPr="00E413F7" w:rsidRDefault="00E413F7" w:rsidP="00E413F7">
      <w:pPr>
        <w:numPr>
          <w:ilvl w:val="0"/>
          <w:numId w:val="3"/>
        </w:numPr>
      </w:pPr>
      <w:r>
        <w:rPr>
          <w:lang w:val="ro"/>
        </w:rPr>
        <w:t xml:space="preserve">grupurile de lucru au sprijinit competențele digitale și antreprenoriale, orientarea în carieră și dezvoltarea profesională a cadrelor didactice; </w:t>
      </w:r>
    </w:p>
    <w:p w14:paraId="3E8923AF" w14:textId="77777777" w:rsidR="00E413F7" w:rsidRPr="00E413F7" w:rsidRDefault="00E413F7" w:rsidP="00E413F7">
      <w:pPr>
        <w:numPr>
          <w:ilvl w:val="0"/>
          <w:numId w:val="3"/>
        </w:numPr>
      </w:pPr>
      <w:r>
        <w:rPr>
          <w:lang w:val="ro"/>
        </w:rPr>
        <w:t xml:space="preserve">rezultatele învățării bazate pe EntreComp și DigComp au fost elaborate prin consultare; </w:t>
      </w:r>
    </w:p>
    <w:p w14:paraId="2E2AC339" w14:textId="77777777" w:rsidR="00E413F7" w:rsidRPr="00E413F7" w:rsidRDefault="00E413F7" w:rsidP="00E413F7">
      <w:pPr>
        <w:numPr>
          <w:ilvl w:val="0"/>
          <w:numId w:val="3"/>
        </w:numPr>
      </w:pPr>
      <w:r>
        <w:rPr>
          <w:lang w:val="ro"/>
        </w:rPr>
        <w:t xml:space="preserve">unele cantoane au început reforma curriculumului pe baza rezultatelor învățării. </w:t>
      </w:r>
    </w:p>
    <w:p w14:paraId="39902298" w14:textId="77777777" w:rsidR="00E413F7" w:rsidRPr="00E413F7" w:rsidRDefault="00E413F7" w:rsidP="00E413F7">
      <w:r>
        <w:rPr>
          <w:lang w:val="ro"/>
        </w:rPr>
        <w:t xml:space="preserve">Totuși, lipsa de coerență reprezintă o problemă serioasă. Potrivit OCDE, implementarea diferă între sistemele de educație ale entităților și nu a fost alocat niciun buget pentru acțiunile din strategia de învățare antreprenorială. Comisia Europeană a raportat în 2024 că Bosnia și Herțegovina se află la o etapă incipientă de pregătire în educație și cultură, că nu s-au înregistrat progrese și că recomandările din anul precedent nu au fost implementate. </w:t>
      </w:r>
    </w:p>
    <w:p w14:paraId="698C0698" w14:textId="77777777" w:rsidR="00E413F7" w:rsidRPr="00E413F7" w:rsidRDefault="00E413F7" w:rsidP="00E413F7">
      <w:r>
        <w:rPr>
          <w:lang w:val="ro"/>
        </w:rPr>
        <w:t xml:space="preserve">Comisia a mai raportat că un document de politici în domeniul ÎPT la nivel național este în vigoare din 2021, dar „nu s-au înregistrat progrese vizibile”; totodată, a mai semnalat transformarea digitală slabă, lipsa unei abordări la nivel național, monitorizarea limitată a calității educației și utilizarea insuficientă a datelor în elaborarea politicilor. </w:t>
      </w:r>
    </w:p>
    <w:p w14:paraId="3BE5EC35" w14:textId="77777777" w:rsidR="00E413F7" w:rsidRPr="00E413F7" w:rsidRDefault="00E413F7" w:rsidP="00E413F7">
      <w:pPr>
        <w:rPr>
          <w:b/>
          <w:bCs/>
        </w:rPr>
      </w:pPr>
      <w:r>
        <w:rPr>
          <w:b/>
          <w:bCs/>
          <w:lang w:val="ro"/>
        </w:rPr>
        <w:t>6. Întrebări pentru participanți</w:t>
      </w:r>
    </w:p>
    <w:p w14:paraId="7EA371CF" w14:textId="77777777" w:rsidR="00E413F7" w:rsidRPr="00E413F7" w:rsidRDefault="00E413F7" w:rsidP="00E413F7">
      <w:pPr>
        <w:numPr>
          <w:ilvl w:val="0"/>
          <w:numId w:val="4"/>
        </w:numPr>
      </w:pPr>
      <w:r>
        <w:rPr>
          <w:lang w:val="ro"/>
        </w:rPr>
        <w:t xml:space="preserve">Care este problema centrală a sistemului educațional din Bosnia și Herțegovina? </w:t>
      </w:r>
    </w:p>
    <w:p w14:paraId="5F521A1E" w14:textId="77777777" w:rsidR="00E413F7" w:rsidRPr="00E413F7" w:rsidRDefault="00E413F7" w:rsidP="00E413F7">
      <w:pPr>
        <w:numPr>
          <w:ilvl w:val="0"/>
          <w:numId w:val="4"/>
        </w:numPr>
      </w:pPr>
      <w:r>
        <w:rPr>
          <w:lang w:val="ro"/>
        </w:rPr>
        <w:t xml:space="preserve">Este diagnosticul suficient de clar sau rămâne prea larg?  </w:t>
      </w:r>
    </w:p>
    <w:p w14:paraId="6BC0DDEB" w14:textId="77777777" w:rsidR="00E413F7" w:rsidRPr="00E413F7" w:rsidRDefault="00E413F7" w:rsidP="00E413F7">
      <w:pPr>
        <w:numPr>
          <w:ilvl w:val="0"/>
          <w:numId w:val="4"/>
        </w:numPr>
      </w:pPr>
      <w:r>
        <w:rPr>
          <w:lang w:val="ro"/>
        </w:rPr>
        <w:t xml:space="preserve">Există o politică de orientare reală sau, mai degrabă, doar un set de documente de coordonare? </w:t>
      </w:r>
    </w:p>
    <w:p w14:paraId="610E6539" w14:textId="4A24FD12" w:rsidR="00E413F7" w:rsidRPr="00E413F7" w:rsidRDefault="00562DED" w:rsidP="00E413F7">
      <w:pPr>
        <w:numPr>
          <w:ilvl w:val="0"/>
          <w:numId w:val="4"/>
        </w:numPr>
      </w:pPr>
      <w:r>
        <w:rPr>
          <w:lang w:val="ro"/>
        </w:rPr>
        <w:t>Unde se află</w:t>
      </w:r>
      <w:r w:rsidR="00764FC4">
        <w:rPr>
          <w:lang w:val="ro"/>
        </w:rPr>
        <w:t xml:space="preserve"> </w:t>
      </w:r>
      <w:bookmarkStart w:id="0" w:name="_GoBack"/>
      <w:bookmarkEnd w:id="0"/>
      <w:r w:rsidR="00E413F7">
        <w:rPr>
          <w:lang w:val="ro"/>
        </w:rPr>
        <w:t xml:space="preserve">principalele bariere în calea unor acțiuni coerente? </w:t>
      </w:r>
    </w:p>
    <w:p w14:paraId="004E286F" w14:textId="77777777" w:rsidR="00E413F7" w:rsidRPr="00E413F7" w:rsidRDefault="00E413F7" w:rsidP="00E413F7">
      <w:pPr>
        <w:numPr>
          <w:ilvl w:val="0"/>
          <w:numId w:val="4"/>
        </w:numPr>
      </w:pPr>
      <w:r>
        <w:rPr>
          <w:lang w:val="ro"/>
        </w:rPr>
        <w:t xml:space="preserve">Problema rezidă în proiectarea strategiei, în capacitatea de implementare, în structura de guvernanță, în resurse sau în toate acestea?  </w:t>
      </w:r>
    </w:p>
    <w:p w14:paraId="5171CCF1" w14:textId="77777777" w:rsidR="00E413F7" w:rsidRPr="00E413F7" w:rsidRDefault="00E413F7" w:rsidP="00E413F7">
      <w:pPr>
        <w:numPr>
          <w:ilvl w:val="0"/>
          <w:numId w:val="4"/>
        </w:numPr>
      </w:pPr>
      <w:r>
        <w:rPr>
          <w:lang w:val="ro"/>
        </w:rPr>
        <w:lastRenderedPageBreak/>
        <w:t>Este aceasta o „strategie defectuoasă” sau un sistem strategic slab? Care este diferența?</w:t>
      </w:r>
    </w:p>
    <w:p w14:paraId="164A7AEF" w14:textId="77777777" w:rsidR="00047B0E" w:rsidRDefault="00047B0E"/>
    <w:sectPr w:rsidR="00047B0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59D52" w14:textId="77777777" w:rsidR="00F639E3" w:rsidRDefault="00F639E3" w:rsidP="00E413F7">
      <w:pPr>
        <w:spacing w:after="0" w:line="240" w:lineRule="auto"/>
      </w:pPr>
      <w:r>
        <w:separator/>
      </w:r>
    </w:p>
  </w:endnote>
  <w:endnote w:type="continuationSeparator" w:id="0">
    <w:p w14:paraId="21AEEB0F" w14:textId="77777777" w:rsidR="00F639E3" w:rsidRDefault="00F639E3" w:rsidP="00E41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725523"/>
      <w:docPartObj>
        <w:docPartGallery w:val="Page Numbers (Bottom of Page)"/>
        <w:docPartUnique/>
      </w:docPartObj>
    </w:sdtPr>
    <w:sdtEndPr/>
    <w:sdtContent>
      <w:p w14:paraId="5089D7D4" w14:textId="09BBD9E8" w:rsidR="00E413F7" w:rsidRDefault="00E413F7">
        <w:pPr>
          <w:pStyle w:val="Footer"/>
          <w:jc w:val="right"/>
        </w:pPr>
        <w:r>
          <w:rPr>
            <w:lang w:val="ro"/>
          </w:rPr>
          <w:fldChar w:fldCharType="begin"/>
        </w:r>
        <w:r>
          <w:rPr>
            <w:lang w:val="ro"/>
          </w:rPr>
          <w:instrText>PAGE   \* MERGEFORMAT</w:instrText>
        </w:r>
        <w:r>
          <w:rPr>
            <w:lang w:val="ro"/>
          </w:rPr>
          <w:fldChar w:fldCharType="separate"/>
        </w:r>
        <w:r w:rsidR="00562DED">
          <w:rPr>
            <w:noProof/>
            <w:lang w:val="ro"/>
          </w:rPr>
          <w:t>4</w:t>
        </w:r>
        <w:r>
          <w:rPr>
            <w:lang w:val="ro"/>
          </w:rPr>
          <w:fldChar w:fldCharType="end"/>
        </w:r>
      </w:p>
    </w:sdtContent>
  </w:sdt>
  <w:p w14:paraId="5C9383EF" w14:textId="2FA3E38C" w:rsidR="00E413F7" w:rsidRPr="00507F13" w:rsidRDefault="00507F13" w:rsidP="00507F13">
    <w:pPr>
      <w:spacing w:after="120" w:line="259" w:lineRule="auto"/>
      <w:rPr>
        <w:rFonts w:ascii="Arial" w:eastAsia="Arial" w:hAnsi="Arial" w:cs="Times New Roman"/>
        <w:b/>
        <w:caps/>
        <w:color w:val="455560"/>
        <w:spacing w:val="40"/>
        <w:kern w:val="0"/>
        <w:sz w:val="20"/>
        <w:szCs w:val="22"/>
        <w14:ligatures w14:val="none"/>
      </w:rPr>
    </w:pPr>
    <w:r>
      <w:rPr>
        <w:rFonts w:ascii="Arial" w:eastAsia="Arial" w:hAnsi="Arial" w:cs="Times New Roman"/>
        <w:b/>
        <w:bCs/>
        <w:caps/>
        <w:color w:val="455560"/>
        <w:kern w:val="0"/>
        <w:sz w:val="20"/>
        <w:szCs w:val="22"/>
        <w:lang w:val="ro"/>
        <w14:ligatures w14:val="none"/>
      </w:rPr>
      <w:t>Planificare strategică pentru politici educaționale durabile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BF0CF" w14:textId="77777777" w:rsidR="00F639E3" w:rsidRDefault="00F639E3" w:rsidP="00E413F7">
      <w:pPr>
        <w:spacing w:after="0" w:line="240" w:lineRule="auto"/>
      </w:pPr>
      <w:r>
        <w:separator/>
      </w:r>
    </w:p>
  </w:footnote>
  <w:footnote w:type="continuationSeparator" w:id="0">
    <w:p w14:paraId="68F7A519" w14:textId="77777777" w:rsidR="00F639E3" w:rsidRDefault="00F639E3" w:rsidP="00E41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5AF9C" w14:textId="77777777" w:rsidR="001B751A" w:rsidRPr="001B751A" w:rsidRDefault="001B751A" w:rsidP="001B751A">
    <w:pPr>
      <w:pStyle w:val="Header"/>
    </w:pPr>
    <w:r>
      <w:rPr>
        <w:noProof/>
        <w:lang w:val="en-US"/>
      </w:rPr>
      <w:drawing>
        <wp:anchor distT="0" distB="0" distL="114300" distR="114300" simplePos="0" relativeHeight="251658240" behindDoc="0" locked="1" layoutInCell="1" allowOverlap="1" wp14:anchorId="333ED574" wp14:editId="0C8F9E8E">
          <wp:simplePos x="0" y="0"/>
          <wp:positionH relativeFrom="page">
            <wp:posOffset>585912</wp:posOffset>
          </wp:positionH>
          <wp:positionV relativeFrom="page">
            <wp:posOffset>76797</wp:posOffset>
          </wp:positionV>
          <wp:extent cx="934130" cy="755865"/>
          <wp:effectExtent l="0" t="0" r="0" b="0"/>
          <wp:wrapNone/>
          <wp:docPr id="12" name="imgLogoE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LogoETF"/>
                  <pic:cNvPicPr/>
                </pic:nvPicPr>
                <pic:blipFill>
                  <a:blip r:embed="rId1">
                    <a:extLst>
                      <a:ext uri="{28A0092B-C50C-407E-A947-70E740481C1C}">
                        <a14:useLocalDpi xmlns:a14="http://schemas.microsoft.com/office/drawing/2010/main" val="0"/>
                      </a:ext>
                    </a:extLst>
                  </a:blip>
                  <a:stretch>
                    <a:fillRect/>
                  </a:stretch>
                </pic:blipFill>
                <pic:spPr>
                  <a:xfrm>
                    <a:off x="0" y="0"/>
                    <a:ext cx="938547" cy="759439"/>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1" behindDoc="0" locked="1" layoutInCell="1" allowOverlap="1" wp14:anchorId="7CC27823" wp14:editId="4B87CCA7">
          <wp:simplePos x="0" y="0"/>
          <wp:positionH relativeFrom="rightMargin">
            <wp:posOffset>-171829</wp:posOffset>
          </wp:positionH>
          <wp:positionV relativeFrom="page">
            <wp:posOffset>297799</wp:posOffset>
          </wp:positionV>
          <wp:extent cx="611736" cy="495241"/>
          <wp:effectExtent l="0" t="0" r="0" b="635"/>
          <wp:wrapNone/>
          <wp:docPr id="11" name="imgLogo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LogoEU"/>
                  <pic:cNvPicPr/>
                </pic:nvPicPr>
                <pic:blipFill>
                  <a:blip r:embed="rId2">
                    <a:extLst>
                      <a:ext uri="{28A0092B-C50C-407E-A947-70E740481C1C}">
                        <a14:useLocalDpi xmlns:a14="http://schemas.microsoft.com/office/drawing/2010/main" val="0"/>
                      </a:ext>
                    </a:extLst>
                  </a:blip>
                  <a:stretch>
                    <a:fillRect/>
                  </a:stretch>
                </pic:blipFill>
                <pic:spPr>
                  <a:xfrm>
                    <a:off x="0" y="0"/>
                    <a:ext cx="619118" cy="501217"/>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2" behindDoc="1" locked="0" layoutInCell="1" allowOverlap="1" wp14:anchorId="33C2F8E9" wp14:editId="59D3DF1B">
          <wp:simplePos x="0" y="0"/>
          <wp:positionH relativeFrom="margin">
            <wp:posOffset>2222205</wp:posOffset>
          </wp:positionH>
          <wp:positionV relativeFrom="paragraph">
            <wp:posOffset>-130514</wp:posOffset>
          </wp:positionV>
          <wp:extent cx="1422326" cy="495240"/>
          <wp:effectExtent l="0" t="0" r="0" b="0"/>
          <wp:wrapNone/>
          <wp:docPr id="8" name="Picture 8" descr="A screenshot of a computer&#10;&#10;Description automatically generated with medium confidence">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88697F2-BE86-1D2D-2CB5-B747FA7B90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screenshot of a computer&#10;&#10;Description automatically generated with medium confidence">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88697F2-BE86-1D2D-2CB5-B747FA7B90B9}"/>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437120" cy="500391"/>
                  </a:xfrm>
                  <a:prstGeom prst="rect">
                    <a:avLst/>
                  </a:prstGeom>
                </pic:spPr>
              </pic:pic>
            </a:graphicData>
          </a:graphic>
          <wp14:sizeRelH relativeFrom="page">
            <wp14:pctWidth>0</wp14:pctWidth>
          </wp14:sizeRelH>
          <wp14:sizeRelV relativeFrom="page">
            <wp14:pctHeight>0</wp14:pctHeight>
          </wp14:sizeRelV>
        </wp:anchor>
      </w:drawing>
    </w:r>
  </w:p>
  <w:p w14:paraId="581B8C58" w14:textId="77777777" w:rsidR="001B751A" w:rsidRDefault="001B75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35F82"/>
    <w:multiLevelType w:val="multilevel"/>
    <w:tmpl w:val="B324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136FD5"/>
    <w:multiLevelType w:val="multilevel"/>
    <w:tmpl w:val="1E9CC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AF2449"/>
    <w:multiLevelType w:val="multilevel"/>
    <w:tmpl w:val="89B8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712149"/>
    <w:multiLevelType w:val="multilevel"/>
    <w:tmpl w:val="565A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3F7"/>
    <w:rsid w:val="00047B0E"/>
    <w:rsid w:val="00060B11"/>
    <w:rsid w:val="00060CD4"/>
    <w:rsid w:val="0018041F"/>
    <w:rsid w:val="001B751A"/>
    <w:rsid w:val="002B2E32"/>
    <w:rsid w:val="004055AA"/>
    <w:rsid w:val="00482313"/>
    <w:rsid w:val="00507F13"/>
    <w:rsid w:val="00562DED"/>
    <w:rsid w:val="005C5D02"/>
    <w:rsid w:val="00764FC4"/>
    <w:rsid w:val="00771CF2"/>
    <w:rsid w:val="00806F61"/>
    <w:rsid w:val="009C78F1"/>
    <w:rsid w:val="00C311C1"/>
    <w:rsid w:val="00C84B86"/>
    <w:rsid w:val="00E413F7"/>
    <w:rsid w:val="00EA69FD"/>
    <w:rsid w:val="00EC4F22"/>
    <w:rsid w:val="00F515F8"/>
    <w:rsid w:val="00F639E3"/>
    <w:rsid w:val="00F91374"/>
    <w:rsid w:val="00FD01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F7E0F"/>
  <w15:chartTrackingRefBased/>
  <w15:docId w15:val="{4C998E0A-4DB8-409B-8AAB-10D8BD6A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13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13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3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3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3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3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3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3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3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3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13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3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3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3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3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3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3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3F7"/>
    <w:rPr>
      <w:rFonts w:eastAsiaTheme="majorEastAsia" w:cstheme="majorBidi"/>
      <w:color w:val="272727" w:themeColor="text1" w:themeTint="D8"/>
    </w:rPr>
  </w:style>
  <w:style w:type="paragraph" w:styleId="Title">
    <w:name w:val="Title"/>
    <w:basedOn w:val="Normal"/>
    <w:next w:val="Normal"/>
    <w:link w:val="TitleChar"/>
    <w:uiPriority w:val="10"/>
    <w:qFormat/>
    <w:rsid w:val="00E413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3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3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3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3F7"/>
    <w:pPr>
      <w:spacing w:before="160"/>
      <w:jc w:val="center"/>
    </w:pPr>
    <w:rPr>
      <w:i/>
      <w:iCs/>
      <w:color w:val="404040" w:themeColor="text1" w:themeTint="BF"/>
    </w:rPr>
  </w:style>
  <w:style w:type="character" w:customStyle="1" w:styleId="QuoteChar">
    <w:name w:val="Quote Char"/>
    <w:basedOn w:val="DefaultParagraphFont"/>
    <w:link w:val="Quote"/>
    <w:uiPriority w:val="29"/>
    <w:rsid w:val="00E413F7"/>
    <w:rPr>
      <w:i/>
      <w:iCs/>
      <w:color w:val="404040" w:themeColor="text1" w:themeTint="BF"/>
    </w:rPr>
  </w:style>
  <w:style w:type="paragraph" w:styleId="ListParagraph">
    <w:name w:val="List Paragraph"/>
    <w:basedOn w:val="Normal"/>
    <w:uiPriority w:val="34"/>
    <w:qFormat/>
    <w:rsid w:val="00E413F7"/>
    <w:pPr>
      <w:ind w:left="720"/>
      <w:contextualSpacing/>
    </w:pPr>
  </w:style>
  <w:style w:type="character" w:styleId="IntenseEmphasis">
    <w:name w:val="Intense Emphasis"/>
    <w:basedOn w:val="DefaultParagraphFont"/>
    <w:uiPriority w:val="21"/>
    <w:qFormat/>
    <w:rsid w:val="00E413F7"/>
    <w:rPr>
      <w:i/>
      <w:iCs/>
      <w:color w:val="0F4761" w:themeColor="accent1" w:themeShade="BF"/>
    </w:rPr>
  </w:style>
  <w:style w:type="paragraph" w:styleId="IntenseQuote">
    <w:name w:val="Intense Quote"/>
    <w:basedOn w:val="Normal"/>
    <w:next w:val="Normal"/>
    <w:link w:val="IntenseQuoteChar"/>
    <w:uiPriority w:val="30"/>
    <w:qFormat/>
    <w:rsid w:val="00E413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3F7"/>
    <w:rPr>
      <w:i/>
      <w:iCs/>
      <w:color w:val="0F4761" w:themeColor="accent1" w:themeShade="BF"/>
    </w:rPr>
  </w:style>
  <w:style w:type="character" w:styleId="IntenseReference">
    <w:name w:val="Intense Reference"/>
    <w:basedOn w:val="DefaultParagraphFont"/>
    <w:uiPriority w:val="32"/>
    <w:qFormat/>
    <w:rsid w:val="00E413F7"/>
    <w:rPr>
      <w:b/>
      <w:bCs/>
      <w:smallCaps/>
      <w:color w:val="0F4761" w:themeColor="accent1" w:themeShade="BF"/>
      <w:spacing w:val="5"/>
    </w:rPr>
  </w:style>
  <w:style w:type="paragraph" w:styleId="Header">
    <w:name w:val="header"/>
    <w:basedOn w:val="Normal"/>
    <w:link w:val="HeaderChar"/>
    <w:uiPriority w:val="99"/>
    <w:unhideWhenUsed/>
    <w:rsid w:val="00E41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3F7"/>
  </w:style>
  <w:style w:type="paragraph" w:styleId="Footer">
    <w:name w:val="footer"/>
    <w:basedOn w:val="Normal"/>
    <w:link w:val="FooterChar"/>
    <w:uiPriority w:val="99"/>
    <w:unhideWhenUsed/>
    <w:rsid w:val="00E41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4c7a77-a186-4b33-ad65-f5fdf95755b4">
      <Terms xmlns="http://schemas.microsoft.com/office/infopath/2007/PartnerControls"/>
    </lcf76f155ced4ddcb4097134ff3c332f>
    <TaxCatchAll xmlns="b3144a11-e500-4ade-8fe4-7de3e8b2f8df" xsi:nil="true"/>
    <_dlc_DocId xmlns="b3144a11-e500-4ade-8fe4-7de3e8b2f8df">DMSPOL-593052326-20989</_dlc_DocId>
    <_dlc_DocIdUrl xmlns="b3144a11-e500-4ade-8fe4-7de3e8b2f8df">
      <Url>https://europeantrainingfoundation.sharepoint.com/sites/PAU/_layouts/15/DocIdRedir.aspx?ID=DMSPOL-593052326-20989</Url>
      <Description>DMSPOL-593052326-20989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5B698B556D0B4C9502A5ACF2AED6A9" ma:contentTypeVersion="18" ma:contentTypeDescription="Create a new document." ma:contentTypeScope="" ma:versionID="3432e0d82aa2c6cbc318ab7ebf7bed1a">
  <xsd:schema xmlns:xsd="http://www.w3.org/2001/XMLSchema" xmlns:xs="http://www.w3.org/2001/XMLSchema" xmlns:p="http://schemas.microsoft.com/office/2006/metadata/properties" xmlns:ns2="834c7a77-a186-4b33-ad65-f5fdf95755b4" xmlns:ns3="b3144a11-e500-4ade-8fe4-7de3e8b2f8df" targetNamespace="http://schemas.microsoft.com/office/2006/metadata/properties" ma:root="true" ma:fieldsID="e892449e9d01326dccfd0f4574390e63" ns2:_="" ns3:_="">
    <xsd:import namespace="834c7a77-a186-4b33-ad65-f5fdf95755b4"/>
    <xsd:import namespace="b3144a11-e500-4ade-8fe4-7de3e8b2f8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c7a77-a186-4b33-ad65-f5fdf9575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10ffe1f-c839-4a66-9ae8-9a2945e4919f"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44a11-e500-4ade-8fe4-7de3e8b2f8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00d01145-b743-4b9f-bd72-c5f5060489c5}" ma:internalName="TaxCatchAll" ma:showField="CatchAllData" ma:web="b3144a11-e500-4ade-8fe4-7de3e8b2f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4B5F1C-19FE-454A-BB00-41C0695F98EF}">
  <ds:schemaRefs>
    <ds:schemaRef ds:uri="http://schemas.microsoft.com/office/2006/metadata/properties"/>
    <ds:schemaRef ds:uri="http://schemas.microsoft.com/office/infopath/2007/PartnerControls"/>
    <ds:schemaRef ds:uri="834c7a77-a186-4b33-ad65-f5fdf95755b4"/>
    <ds:schemaRef ds:uri="b3144a11-e500-4ade-8fe4-7de3e8b2f8df"/>
    <ds:schemaRef ds:uri="67869905-2451-4027-a0ee-a2a1ecae2258"/>
    <ds:schemaRef ds:uri="11e2ca85-ad97-42b1-86ae-1648ef582cfd"/>
  </ds:schemaRefs>
</ds:datastoreItem>
</file>

<file path=customXml/itemProps2.xml><?xml version="1.0" encoding="utf-8"?>
<ds:datastoreItem xmlns:ds="http://schemas.openxmlformats.org/officeDocument/2006/customXml" ds:itemID="{15EE8EAE-3102-49B2-BA4B-49539E130DA2}">
  <ds:schemaRefs>
    <ds:schemaRef ds:uri="http://schemas.microsoft.com/sharepoint/v3/contenttype/forms"/>
  </ds:schemaRefs>
</ds:datastoreItem>
</file>

<file path=customXml/itemProps3.xml><?xml version="1.0" encoding="utf-8"?>
<ds:datastoreItem xmlns:ds="http://schemas.openxmlformats.org/officeDocument/2006/customXml" ds:itemID="{F2EF0DBF-47F5-49EB-98B5-2A28C9476F1B}"/>
</file>

<file path=customXml/itemProps4.xml><?xml version="1.0" encoding="utf-8"?>
<ds:datastoreItem xmlns:ds="http://schemas.openxmlformats.org/officeDocument/2006/customXml" ds:itemID="{05C332C3-4C92-40C9-A837-14FCF28CF670}"/>
</file>

<file path=docProps/app.xml><?xml version="1.0" encoding="utf-8"?>
<Properties xmlns="http://schemas.openxmlformats.org/officeDocument/2006/extended-properties" xmlns:vt="http://schemas.openxmlformats.org/officeDocument/2006/docPropsVTypes">
  <Template>Normal.dotm</Template>
  <TotalTime>1</TotalTime>
  <Pages>4</Pages>
  <Words>841</Words>
  <Characters>5691</Characters>
  <Application>Microsoft Office Word</Application>
  <DocSecurity>0</DocSecurity>
  <Lines>247</Lines>
  <Paragraphs>125</Paragraphs>
  <ScaleCrop>false</ScaleCrop>
  <Company/>
  <LinksUpToDate>false</LinksUpToDate>
  <CharactersWithSpaces>6407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Stronkowski (ETF)</dc:creator>
  <cp:keywords/>
  <dc:description/>
  <cp:lastModifiedBy>Microsoft account</cp:lastModifiedBy>
  <cp:revision>5</cp:revision>
  <dcterms:created xsi:type="dcterms:W3CDTF">2026-04-29T13:53:00Z</dcterms:created>
  <dcterms:modified xsi:type="dcterms:W3CDTF">2026-05-05T09:31:00Z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0x010100C45B698B556D0B4C9502A5ACF2AED6A9</vt:lpwstr>
  </property>
  <property fmtid="{D5CDD505-2E9C-101B-9397-08002B2CF9AE}" pid="3" name="_dlc_DocIdItemGuid">
    <vt:lpwstr>a411bfd1-2dda-4ad8-8695-390b38538148</vt:lpwstr>
  </property>
  <property fmtid="{D5CDD505-2E9C-101B-9397-08002B2CF9AE}" pid="4" name="MediaServiceImageTags">
    <vt:lpwstr/>
  </property>
</Properties>
</file>