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741F" w14:textId="77777777" w:rsidR="00E467DA" w:rsidRPr="00E467DA" w:rsidRDefault="00E467DA" w:rsidP="009B701E">
      <w:pPr>
        <w:pStyle w:val="Heading1"/>
      </w:pPr>
      <w:r w:rsidRPr="00E467DA">
        <w:t>Case Study 1 — Estonia</w:t>
      </w:r>
    </w:p>
    <w:p w14:paraId="61E8A2F3" w14:textId="674465A2" w:rsidR="00E467DA" w:rsidRPr="00E467DA" w:rsidRDefault="00E467DA" w:rsidP="009B701E">
      <w:pPr>
        <w:pStyle w:val="Heading2"/>
      </w:pPr>
      <w:r w:rsidRPr="00E467DA">
        <w:t>Education Strategy 2021–2035</w:t>
      </w:r>
    </w:p>
    <w:p w14:paraId="34C02E60" w14:textId="77777777" w:rsidR="00E467DA" w:rsidRPr="00E467DA" w:rsidRDefault="00E467DA" w:rsidP="00E467DA">
      <w:pPr>
        <w:rPr>
          <w:b/>
          <w:bCs/>
        </w:rPr>
      </w:pPr>
      <w:r w:rsidRPr="00E467DA">
        <w:rPr>
          <w:b/>
          <w:bCs/>
        </w:rPr>
        <w:t>1. Context</w:t>
      </w:r>
    </w:p>
    <w:p w14:paraId="4BBFFA82" w14:textId="77777777" w:rsidR="00E467DA" w:rsidRPr="00E467DA" w:rsidRDefault="00E467DA" w:rsidP="00E467DA">
      <w:r w:rsidRPr="00E467DA">
        <w:t xml:space="preserve">Estonia adopted its </w:t>
      </w:r>
      <w:r w:rsidRPr="00E467DA">
        <w:rPr>
          <w:b/>
          <w:bCs/>
        </w:rPr>
        <w:t>Education Strategy 2021–2035</w:t>
      </w:r>
      <w:r w:rsidRPr="00E467DA">
        <w:t xml:space="preserve"> in November 2021. The strategy is linked to the broader national development plan </w:t>
      </w:r>
      <w:r w:rsidRPr="00E467DA">
        <w:rPr>
          <w:b/>
          <w:bCs/>
        </w:rPr>
        <w:t>Estonia 2035</w:t>
      </w:r>
      <w:r w:rsidRPr="00E467DA">
        <w:t xml:space="preserve"> and is intended to guide long-term education reform across the whole system. It builds on the previous </w:t>
      </w:r>
      <w:r w:rsidRPr="00E467DA">
        <w:rPr>
          <w:b/>
          <w:bCs/>
        </w:rPr>
        <w:t>Estonian Lifelong Learning Strategy 2020</w:t>
      </w:r>
      <w:r w:rsidRPr="00E467DA">
        <w:t xml:space="preserve"> and draws on studies, expert vision documents, stakeholder consultations and evaluation of previous reforms. </w:t>
      </w:r>
    </w:p>
    <w:p w14:paraId="1EFA1AB4" w14:textId="77777777" w:rsidR="00E467DA" w:rsidRPr="00E467DA" w:rsidRDefault="00E467DA" w:rsidP="00E467DA">
      <w:r w:rsidRPr="00E467DA">
        <w:t xml:space="preserve">The strategy starts from a relatively strong position. Estonia describes education as highly valued in society and identifies several system strengths: equal learning opportunities, strong education quality, internationally competitive universities, high participation in early childhood education, diverse non-formal learning, institutional autonomy and an increasingly evidence-based approach to education policy. </w:t>
      </w:r>
    </w:p>
    <w:p w14:paraId="7BDF3E2F" w14:textId="77777777" w:rsidR="00E467DA" w:rsidRPr="00E467DA" w:rsidRDefault="00E467DA" w:rsidP="00E467DA">
      <w:r w:rsidRPr="00E467DA">
        <w:t xml:space="preserve">However, the strategy does not present Estonia as a finished success story. It identifies several bottlenecks: unclear division of responsibilities between national government, local authorities and private actors; limited coherence between education levels; duplication and competition between institutions; unequal value attached to different secondary pathways; and inequalities linked to gender, residence, origin and other factors. </w:t>
      </w:r>
    </w:p>
    <w:p w14:paraId="3E618643" w14:textId="77777777" w:rsidR="00E467DA" w:rsidRPr="00E467DA" w:rsidRDefault="00E467DA" w:rsidP="00E467DA">
      <w:pPr>
        <w:rPr>
          <w:b/>
          <w:bCs/>
        </w:rPr>
      </w:pPr>
      <w:r w:rsidRPr="00E467DA">
        <w:rPr>
          <w:b/>
          <w:bCs/>
        </w:rPr>
        <w:t>2. The core ambition</w:t>
      </w:r>
    </w:p>
    <w:p w14:paraId="3E68957A" w14:textId="77777777" w:rsidR="00E467DA" w:rsidRPr="00E467DA" w:rsidRDefault="00E467DA" w:rsidP="00E467DA">
      <w:r w:rsidRPr="00E467DA">
        <w:t>The strategy’s general objective is:</w:t>
      </w:r>
    </w:p>
    <w:p w14:paraId="4D3B3AB1" w14:textId="77777777" w:rsidR="00E467DA" w:rsidRPr="00E467DA" w:rsidRDefault="00E467DA" w:rsidP="00E467DA">
      <w:r w:rsidRPr="00E467DA">
        <w:t>To equip the population of Estonia with the knowledge, skills and attitudes needed to fulfil their potential in personal, occupational and social life, and to contribute to quality of life in Estonia and global sustainable development.</w:t>
      </w:r>
    </w:p>
    <w:p w14:paraId="74477C2D" w14:textId="77777777" w:rsidR="00E467DA" w:rsidRPr="00E467DA" w:rsidRDefault="00E467DA" w:rsidP="00E467DA">
      <w:r w:rsidRPr="00E467DA">
        <w:t xml:space="preserve">The strategy is built around </w:t>
      </w:r>
      <w:r w:rsidRPr="00E467DA">
        <w:rPr>
          <w:b/>
          <w:bCs/>
        </w:rPr>
        <w:t>three strategic goals</w:t>
      </w:r>
      <w:r w:rsidRPr="00E467DA">
        <w:t>:</w:t>
      </w:r>
    </w:p>
    <w:p w14:paraId="7573CF6B" w14:textId="77777777" w:rsidR="00E467DA" w:rsidRPr="00E467DA" w:rsidRDefault="00E467DA" w:rsidP="00E467DA">
      <w:pPr>
        <w:numPr>
          <w:ilvl w:val="0"/>
          <w:numId w:val="1"/>
        </w:numPr>
      </w:pPr>
      <w:r w:rsidRPr="00E467DA">
        <w:rPr>
          <w:b/>
          <w:bCs/>
        </w:rPr>
        <w:t>Learning opportunities are diverse and accessible</w:t>
      </w:r>
      <w:r w:rsidRPr="00E467DA">
        <w:t xml:space="preserve">, and the education system enables smooth transitions between levels and types of education. </w:t>
      </w:r>
    </w:p>
    <w:p w14:paraId="76E92C7C" w14:textId="77777777" w:rsidR="00E467DA" w:rsidRPr="00E467DA" w:rsidRDefault="00E467DA" w:rsidP="00E467DA">
      <w:pPr>
        <w:numPr>
          <w:ilvl w:val="0"/>
          <w:numId w:val="1"/>
        </w:numPr>
      </w:pPr>
      <w:r w:rsidRPr="00E467DA">
        <w:rPr>
          <w:b/>
          <w:bCs/>
        </w:rPr>
        <w:t>Estonia has competent and motivated teachers and school leaders</w:t>
      </w:r>
      <w:r w:rsidRPr="00E467DA">
        <w:t xml:space="preserve">, a diverse learning environment and a learner-centred approach. </w:t>
      </w:r>
    </w:p>
    <w:p w14:paraId="6A5C918C" w14:textId="77777777" w:rsidR="00E467DA" w:rsidRPr="00E467DA" w:rsidRDefault="00E467DA" w:rsidP="00E467DA">
      <w:pPr>
        <w:numPr>
          <w:ilvl w:val="0"/>
          <w:numId w:val="1"/>
        </w:numPr>
      </w:pPr>
      <w:r w:rsidRPr="00E467DA">
        <w:rPr>
          <w:b/>
          <w:bCs/>
        </w:rPr>
        <w:t>Learning options respond to the development needs of society and the labour market.</w:t>
      </w:r>
      <w:r w:rsidRPr="00E467DA">
        <w:t xml:space="preserve"> </w:t>
      </w:r>
    </w:p>
    <w:p w14:paraId="7C48957A" w14:textId="77777777" w:rsidR="00E467DA" w:rsidRPr="00E467DA" w:rsidRDefault="00E467DA" w:rsidP="00E467DA">
      <w:pPr>
        <w:rPr>
          <w:b/>
          <w:bCs/>
        </w:rPr>
      </w:pPr>
      <w:r w:rsidRPr="00E467DA">
        <w:rPr>
          <w:b/>
          <w:bCs/>
        </w:rPr>
        <w:t>3. Diagnosis: what problem is Estonia trying to solve?</w:t>
      </w:r>
    </w:p>
    <w:p w14:paraId="079B5F90" w14:textId="77777777" w:rsidR="00E467DA" w:rsidRPr="00E467DA" w:rsidRDefault="00E467DA" w:rsidP="00E467DA">
      <w:r w:rsidRPr="00E467DA">
        <w:lastRenderedPageBreak/>
        <w:t>Estonia’s diagnosis is not simply “improve quality”. It identifies a more complex challenge:</w:t>
      </w:r>
    </w:p>
    <w:p w14:paraId="6EADBCB3" w14:textId="77777777" w:rsidR="00E467DA" w:rsidRPr="00E467DA" w:rsidRDefault="00E467DA" w:rsidP="00E467DA">
      <w:r w:rsidRPr="00E467DA">
        <w:t>How can a high-performing education system remain inclusive, flexible and relevant in a context of demographic change, changing labour-market needs, digital transformation and regional inequalities?</w:t>
      </w:r>
    </w:p>
    <w:p w14:paraId="1A2D115F" w14:textId="77777777" w:rsidR="00E467DA" w:rsidRPr="00E467DA" w:rsidRDefault="00E467DA" w:rsidP="00E467DA">
      <w:r w:rsidRPr="00E467DA">
        <w:t>Several specific problems are visible:</w:t>
      </w:r>
    </w:p>
    <w:p w14:paraId="4E00242E" w14:textId="77777777" w:rsidR="00E467DA" w:rsidRPr="00E467DA" w:rsidRDefault="00E467DA" w:rsidP="00E467DA">
      <w:pPr>
        <w:numPr>
          <w:ilvl w:val="0"/>
          <w:numId w:val="2"/>
        </w:numPr>
      </w:pPr>
      <w:r w:rsidRPr="00E467DA">
        <w:t xml:space="preserve">The school network must adapt to population decline while maintaining access to high-quality education in all regions. </w:t>
      </w:r>
    </w:p>
    <w:p w14:paraId="7678DB2A" w14:textId="77777777" w:rsidR="00E467DA" w:rsidRPr="00E467DA" w:rsidRDefault="00E467DA" w:rsidP="00E467DA">
      <w:pPr>
        <w:numPr>
          <w:ilvl w:val="0"/>
          <w:numId w:val="2"/>
        </w:numPr>
      </w:pPr>
      <w:r w:rsidRPr="00E467DA">
        <w:t xml:space="preserve">Learning pathways between general, vocational, higher, non-formal and informal education remain insufficiently flexible. </w:t>
      </w:r>
    </w:p>
    <w:p w14:paraId="157CCE06" w14:textId="77777777" w:rsidR="00E467DA" w:rsidRPr="00E467DA" w:rsidRDefault="00E467DA" w:rsidP="00E467DA">
      <w:pPr>
        <w:numPr>
          <w:ilvl w:val="0"/>
          <w:numId w:val="2"/>
        </w:numPr>
      </w:pPr>
      <w:r w:rsidRPr="00E467DA">
        <w:t xml:space="preserve">Some groups participate less in lifelong learning, especially adults with weaker qualifications. </w:t>
      </w:r>
    </w:p>
    <w:p w14:paraId="6FF88814" w14:textId="77777777" w:rsidR="00E467DA" w:rsidRPr="00E467DA" w:rsidRDefault="00E467DA" w:rsidP="00E467DA">
      <w:pPr>
        <w:numPr>
          <w:ilvl w:val="0"/>
          <w:numId w:val="2"/>
        </w:numPr>
      </w:pPr>
      <w:r w:rsidRPr="00E467DA">
        <w:t xml:space="preserve">Teacher motivation, career models, professional development and pay remain strategic concerns. </w:t>
      </w:r>
    </w:p>
    <w:p w14:paraId="2C89678B" w14:textId="77777777" w:rsidR="00E467DA" w:rsidRPr="00E467DA" w:rsidRDefault="00E467DA" w:rsidP="00E467DA">
      <w:pPr>
        <w:numPr>
          <w:ilvl w:val="0"/>
          <w:numId w:val="2"/>
        </w:numPr>
      </w:pPr>
      <w:r w:rsidRPr="00E467DA">
        <w:t xml:space="preserve">Education must respond faster to labour-market and societal needs, including digital skills, work-based learning and smart specialisation areas. </w:t>
      </w:r>
    </w:p>
    <w:p w14:paraId="2E561823" w14:textId="77777777" w:rsidR="00E467DA" w:rsidRPr="00E467DA" w:rsidRDefault="00E467DA" w:rsidP="00E467DA">
      <w:pPr>
        <w:rPr>
          <w:b/>
          <w:bCs/>
        </w:rPr>
      </w:pPr>
      <w:r w:rsidRPr="00E467DA">
        <w:rPr>
          <w:b/>
          <w:bCs/>
        </w:rPr>
        <w:t>4. Guiding policy: what is the strategic approach?</w:t>
      </w:r>
    </w:p>
    <w:p w14:paraId="37E8CBFC" w14:textId="77777777" w:rsidR="00E467DA" w:rsidRPr="00E467DA" w:rsidRDefault="00E467DA" w:rsidP="00E467DA">
      <w:r w:rsidRPr="00E467DA">
        <w:t>The guiding policy can be summarised as:</w:t>
      </w:r>
    </w:p>
    <w:p w14:paraId="78E65125" w14:textId="77777777" w:rsidR="00E467DA" w:rsidRPr="00E467DA" w:rsidRDefault="00E467DA" w:rsidP="00E467DA">
      <w:r w:rsidRPr="00E467DA">
        <w:t>Build a learner-centred, flexible and evidence-based education system that provides diverse learning pathways, strengthens teachers and connects education more closely with society and the labour market.</w:t>
      </w:r>
    </w:p>
    <w:p w14:paraId="36C3E709" w14:textId="77777777" w:rsidR="00E467DA" w:rsidRPr="00E467DA" w:rsidRDefault="00E467DA" w:rsidP="00E467DA">
      <w:r w:rsidRPr="00E467DA">
        <w:t>This is visible in several choices:</w:t>
      </w:r>
    </w:p>
    <w:p w14:paraId="14832202" w14:textId="77777777" w:rsidR="00E467DA" w:rsidRPr="00E467DA" w:rsidRDefault="00E467DA" w:rsidP="00E467DA">
      <w:pPr>
        <w:numPr>
          <w:ilvl w:val="0"/>
          <w:numId w:val="3"/>
        </w:numPr>
      </w:pPr>
      <w:r w:rsidRPr="00E467DA">
        <w:t xml:space="preserve">reduce barriers between formal, non-formal and informal learning; </w:t>
      </w:r>
    </w:p>
    <w:p w14:paraId="05BC631F" w14:textId="77777777" w:rsidR="00E467DA" w:rsidRPr="00E467DA" w:rsidRDefault="00E467DA" w:rsidP="00E467DA">
      <w:pPr>
        <w:numPr>
          <w:ilvl w:val="0"/>
          <w:numId w:val="3"/>
        </w:numPr>
      </w:pPr>
      <w:r w:rsidRPr="00E467DA">
        <w:t xml:space="preserve">make learning pathways more modular and personalised; </w:t>
      </w:r>
    </w:p>
    <w:p w14:paraId="27335F2D" w14:textId="77777777" w:rsidR="00E467DA" w:rsidRPr="00E467DA" w:rsidRDefault="00E467DA" w:rsidP="00E467DA">
      <w:pPr>
        <w:numPr>
          <w:ilvl w:val="0"/>
          <w:numId w:val="3"/>
        </w:numPr>
      </w:pPr>
      <w:r w:rsidRPr="00E467DA">
        <w:t xml:space="preserve">clarify responsibilities across levels of governance; </w:t>
      </w:r>
    </w:p>
    <w:p w14:paraId="78D6FCB0" w14:textId="77777777" w:rsidR="00E467DA" w:rsidRPr="00E467DA" w:rsidRDefault="00E467DA" w:rsidP="00E467DA">
      <w:pPr>
        <w:numPr>
          <w:ilvl w:val="0"/>
          <w:numId w:val="3"/>
        </w:numPr>
      </w:pPr>
      <w:r w:rsidRPr="00E467DA">
        <w:t xml:space="preserve">strengthen teacher career pathways and professional development; </w:t>
      </w:r>
    </w:p>
    <w:p w14:paraId="6AA8E6BE" w14:textId="77777777" w:rsidR="00E467DA" w:rsidRPr="00E467DA" w:rsidRDefault="00E467DA" w:rsidP="00E467DA">
      <w:pPr>
        <w:numPr>
          <w:ilvl w:val="0"/>
          <w:numId w:val="3"/>
        </w:numPr>
      </w:pPr>
      <w:r w:rsidRPr="00E467DA">
        <w:t xml:space="preserve">use digital solutions to support personalisation and innovation; </w:t>
      </w:r>
    </w:p>
    <w:p w14:paraId="6CA8FC22" w14:textId="77777777" w:rsidR="00E467DA" w:rsidRPr="00E467DA" w:rsidRDefault="00E467DA" w:rsidP="00E467DA">
      <w:pPr>
        <w:numPr>
          <w:ilvl w:val="0"/>
          <w:numId w:val="3"/>
        </w:numPr>
      </w:pPr>
      <w:r w:rsidRPr="00E467DA">
        <w:t xml:space="preserve">expand work-based learning and cooperation with employers. </w:t>
      </w:r>
    </w:p>
    <w:p w14:paraId="29DDA0E2" w14:textId="77777777" w:rsidR="00E467DA" w:rsidRPr="00E467DA" w:rsidRDefault="00E467DA" w:rsidP="00E467DA">
      <w:pPr>
        <w:rPr>
          <w:b/>
          <w:bCs/>
        </w:rPr>
      </w:pPr>
      <w:r w:rsidRPr="00E467DA">
        <w:rPr>
          <w:b/>
          <w:bCs/>
        </w:rPr>
        <w:t>5. Coherent actions</w:t>
      </w:r>
    </w:p>
    <w:p w14:paraId="3671D3BF" w14:textId="77777777" w:rsidR="00E467DA" w:rsidRPr="00E467DA" w:rsidRDefault="00E467DA" w:rsidP="00E467DA">
      <w:r w:rsidRPr="00E467DA">
        <w:t>The strategy links its goals to action trajectories. Examples include:</w:t>
      </w:r>
    </w:p>
    <w:p w14:paraId="47D51177" w14:textId="77777777" w:rsidR="00E467DA" w:rsidRPr="00E467DA" w:rsidRDefault="00E467DA" w:rsidP="00E467DA">
      <w:pPr>
        <w:numPr>
          <w:ilvl w:val="0"/>
          <w:numId w:val="4"/>
        </w:numPr>
      </w:pPr>
      <w:r w:rsidRPr="00E467DA">
        <w:t xml:space="preserve">restructuring funding and quality frameworks across education levels; </w:t>
      </w:r>
    </w:p>
    <w:p w14:paraId="540BDC38" w14:textId="77777777" w:rsidR="00E467DA" w:rsidRPr="00E467DA" w:rsidRDefault="00E467DA" w:rsidP="00E467DA">
      <w:pPr>
        <w:numPr>
          <w:ilvl w:val="0"/>
          <w:numId w:val="4"/>
        </w:numPr>
      </w:pPr>
      <w:r w:rsidRPr="00E467DA">
        <w:lastRenderedPageBreak/>
        <w:t xml:space="preserve">clarifying the division of responsibilities at secondary level; </w:t>
      </w:r>
    </w:p>
    <w:p w14:paraId="660C2FF3" w14:textId="77777777" w:rsidR="00E467DA" w:rsidRPr="00E467DA" w:rsidRDefault="00E467DA" w:rsidP="00E467DA">
      <w:pPr>
        <w:numPr>
          <w:ilvl w:val="0"/>
          <w:numId w:val="4"/>
        </w:numPr>
      </w:pPr>
      <w:r w:rsidRPr="00E467DA">
        <w:t xml:space="preserve">developing regional education centres; </w:t>
      </w:r>
    </w:p>
    <w:p w14:paraId="7C9874C9" w14:textId="77777777" w:rsidR="00E467DA" w:rsidRPr="00E467DA" w:rsidRDefault="00E467DA" w:rsidP="00E467DA">
      <w:pPr>
        <w:numPr>
          <w:ilvl w:val="0"/>
          <w:numId w:val="4"/>
        </w:numPr>
      </w:pPr>
      <w:r w:rsidRPr="00E467DA">
        <w:t xml:space="preserve">creating centres of vocational excellence; </w:t>
      </w:r>
    </w:p>
    <w:p w14:paraId="7FC5385B" w14:textId="77777777" w:rsidR="00E467DA" w:rsidRPr="00E467DA" w:rsidRDefault="00E467DA" w:rsidP="00E467DA">
      <w:pPr>
        <w:numPr>
          <w:ilvl w:val="0"/>
          <w:numId w:val="4"/>
        </w:numPr>
      </w:pPr>
      <w:r w:rsidRPr="00E467DA">
        <w:t xml:space="preserve">strengthening personalised and digitally supported learning; </w:t>
      </w:r>
    </w:p>
    <w:p w14:paraId="4C0FE648" w14:textId="77777777" w:rsidR="00E467DA" w:rsidRPr="00E467DA" w:rsidRDefault="00E467DA" w:rsidP="00E467DA">
      <w:pPr>
        <w:numPr>
          <w:ilvl w:val="0"/>
          <w:numId w:val="4"/>
        </w:numPr>
      </w:pPr>
      <w:r w:rsidRPr="00E467DA">
        <w:t xml:space="preserve">expanding work-based learning and work placements; </w:t>
      </w:r>
    </w:p>
    <w:p w14:paraId="19022F4D" w14:textId="77777777" w:rsidR="00E467DA" w:rsidRPr="00E467DA" w:rsidRDefault="00E467DA" w:rsidP="00E467DA">
      <w:pPr>
        <w:numPr>
          <w:ilvl w:val="0"/>
          <w:numId w:val="4"/>
        </w:numPr>
      </w:pPr>
      <w:r w:rsidRPr="00E467DA">
        <w:t xml:space="preserve">developing teacher career models linked to professional standards, pay and training. </w:t>
      </w:r>
    </w:p>
    <w:p w14:paraId="03DD59F8" w14:textId="77777777" w:rsidR="00E467DA" w:rsidRPr="00E467DA" w:rsidRDefault="00E467DA" w:rsidP="00E467DA">
      <w:r w:rsidRPr="00E467DA">
        <w:t xml:space="preserve">Implementation is supported by governance arrangements. The Ministry of Education and Research coordinates implementation, supported by a broad-based steering committee including several ministries, local government representatives, employers, trade unions, learners and experts. The strategy is implemented through programmes linked to the state budget and is subject to performance reporting and evaluations. </w:t>
      </w:r>
    </w:p>
    <w:p w14:paraId="5DD12D06" w14:textId="77777777" w:rsidR="00E467DA" w:rsidRPr="00E467DA" w:rsidRDefault="00E467DA" w:rsidP="00E467DA">
      <w:pPr>
        <w:rPr>
          <w:b/>
          <w:bCs/>
        </w:rPr>
      </w:pPr>
      <w:r w:rsidRPr="00E467DA">
        <w:rPr>
          <w:b/>
          <w:bCs/>
        </w:rPr>
        <w:t>6. Questions for participants</w:t>
      </w:r>
    </w:p>
    <w:p w14:paraId="3CB92648" w14:textId="77777777" w:rsidR="00E467DA" w:rsidRPr="00E467DA" w:rsidRDefault="00E467DA" w:rsidP="00E467DA">
      <w:pPr>
        <w:numPr>
          <w:ilvl w:val="0"/>
          <w:numId w:val="5"/>
        </w:numPr>
      </w:pPr>
      <w:r w:rsidRPr="00E467DA">
        <w:t xml:space="preserve">What is the real problem Estonia is trying to solve? </w:t>
      </w:r>
    </w:p>
    <w:p w14:paraId="25FE6F99" w14:textId="77777777" w:rsidR="00E467DA" w:rsidRPr="00E467DA" w:rsidRDefault="00E467DA" w:rsidP="00E467DA">
      <w:pPr>
        <w:numPr>
          <w:ilvl w:val="0"/>
          <w:numId w:val="5"/>
        </w:numPr>
      </w:pPr>
      <w:r w:rsidRPr="00E467DA">
        <w:t xml:space="preserve">Does the strategy have a clear diagnosis, or does it describe too many problems? </w:t>
      </w:r>
    </w:p>
    <w:p w14:paraId="2D0C1973" w14:textId="77777777" w:rsidR="00E467DA" w:rsidRPr="00E467DA" w:rsidRDefault="00E467DA" w:rsidP="00E467DA">
      <w:pPr>
        <w:numPr>
          <w:ilvl w:val="0"/>
          <w:numId w:val="5"/>
        </w:numPr>
      </w:pPr>
      <w:r w:rsidRPr="00E467DA">
        <w:t xml:space="preserve">What is the guiding policy? Can you express it in one sentence? </w:t>
      </w:r>
    </w:p>
    <w:p w14:paraId="44391496" w14:textId="77777777" w:rsidR="00E467DA" w:rsidRPr="00E467DA" w:rsidRDefault="00E467DA" w:rsidP="00E467DA">
      <w:pPr>
        <w:numPr>
          <w:ilvl w:val="0"/>
          <w:numId w:val="5"/>
        </w:numPr>
      </w:pPr>
      <w:r w:rsidRPr="00E467DA">
        <w:t xml:space="preserve">Where do you see strategic choices? What does Estonia appear to prioritise? </w:t>
      </w:r>
    </w:p>
    <w:p w14:paraId="5CD7A717" w14:textId="77777777" w:rsidR="00E467DA" w:rsidRPr="00E467DA" w:rsidRDefault="00E467DA" w:rsidP="00E467DA">
      <w:pPr>
        <w:numPr>
          <w:ilvl w:val="0"/>
          <w:numId w:val="5"/>
        </w:numPr>
      </w:pPr>
      <w:r w:rsidRPr="00E467DA">
        <w:t xml:space="preserve">Are the actions coherent, or are they still a broad reform catalogue? </w:t>
      </w:r>
    </w:p>
    <w:p w14:paraId="58320D13" w14:textId="77777777" w:rsidR="00E467DA" w:rsidRPr="00E467DA" w:rsidRDefault="00E467DA" w:rsidP="00E467DA">
      <w:pPr>
        <w:numPr>
          <w:ilvl w:val="0"/>
          <w:numId w:val="5"/>
        </w:numPr>
      </w:pPr>
      <w:r w:rsidRPr="00E467DA">
        <w:t xml:space="preserve">Is this a “good strategy” according to </w:t>
      </w:r>
      <w:proofErr w:type="spellStart"/>
      <w:r w:rsidRPr="00E467DA">
        <w:t>Rumelt</w:t>
      </w:r>
      <w:proofErr w:type="spellEnd"/>
      <w:r w:rsidRPr="00E467DA">
        <w:t>? Why, or why not?</w:t>
      </w:r>
    </w:p>
    <w:p w14:paraId="07F1C57D" w14:textId="77777777" w:rsidR="00E467DA" w:rsidRDefault="00E467DA"/>
    <w:sectPr w:rsidR="00E467D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B97D" w14:textId="77777777" w:rsidR="00EF1C69" w:rsidRDefault="00EF1C69" w:rsidP="00E467DA">
      <w:pPr>
        <w:spacing w:after="0" w:line="240" w:lineRule="auto"/>
      </w:pPr>
      <w:r>
        <w:separator/>
      </w:r>
    </w:p>
  </w:endnote>
  <w:endnote w:type="continuationSeparator" w:id="0">
    <w:p w14:paraId="72A773E6" w14:textId="77777777" w:rsidR="00EF1C69" w:rsidRDefault="00EF1C69" w:rsidP="00E4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394789"/>
      <w:docPartObj>
        <w:docPartGallery w:val="Page Numbers (Bottom of Page)"/>
        <w:docPartUnique/>
      </w:docPartObj>
    </w:sdtPr>
    <w:sdtEndPr/>
    <w:sdtContent>
      <w:p w14:paraId="2899F3AD" w14:textId="3274D351" w:rsidR="00E467DA" w:rsidRDefault="00E467DA">
        <w:pPr>
          <w:pStyle w:val="Footer"/>
          <w:jc w:val="right"/>
        </w:pPr>
        <w:r>
          <w:fldChar w:fldCharType="begin"/>
        </w:r>
        <w:r>
          <w:instrText>PAGE   \* MERGEFORMAT</w:instrText>
        </w:r>
        <w:r>
          <w:fldChar w:fldCharType="separate"/>
        </w:r>
        <w:r>
          <w:t>2</w:t>
        </w:r>
        <w:r>
          <w:fldChar w:fldCharType="end"/>
        </w:r>
      </w:p>
    </w:sdtContent>
  </w:sdt>
  <w:p w14:paraId="1DC7A9A1" w14:textId="77777777" w:rsidR="00DA5F86" w:rsidRPr="00DA5F86" w:rsidRDefault="00DA5F86" w:rsidP="00DA5F86">
    <w:pPr>
      <w:spacing w:after="120" w:line="259" w:lineRule="auto"/>
      <w:rPr>
        <w:rFonts w:ascii="Arial" w:eastAsia="Arial" w:hAnsi="Arial" w:cs="Times New Roman"/>
        <w:b/>
        <w:caps/>
        <w:color w:val="455560"/>
        <w:spacing w:val="40"/>
        <w:kern w:val="0"/>
        <w:sz w:val="20"/>
        <w:szCs w:val="22"/>
        <w14:ligatures w14:val="none"/>
      </w:rPr>
    </w:pPr>
    <w:r w:rsidRPr="00DA5F86">
      <w:rPr>
        <w:rFonts w:ascii="Arial" w:eastAsia="Arial" w:hAnsi="Arial" w:cs="Times New Roman"/>
        <w:b/>
        <w:bCs/>
        <w:caps/>
        <w:color w:val="455560"/>
        <w:spacing w:val="40"/>
        <w:kern w:val="0"/>
        <w:sz w:val="20"/>
        <w:szCs w:val="22"/>
        <w14:ligatures w14:val="none"/>
      </w:rPr>
      <w:t>Strategic Planning for Sustainable Education Policies</w:t>
    </w:r>
  </w:p>
  <w:p w14:paraId="3EE7659D" w14:textId="18F2525D" w:rsidR="00E467DA" w:rsidRDefault="00E46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34BB" w14:textId="77777777" w:rsidR="00EF1C69" w:rsidRDefault="00EF1C69" w:rsidP="00E467DA">
      <w:pPr>
        <w:spacing w:after="0" w:line="240" w:lineRule="auto"/>
      </w:pPr>
      <w:r>
        <w:separator/>
      </w:r>
    </w:p>
  </w:footnote>
  <w:footnote w:type="continuationSeparator" w:id="0">
    <w:p w14:paraId="4B06D501" w14:textId="77777777" w:rsidR="00EF1C69" w:rsidRDefault="00EF1C69" w:rsidP="00E46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8C8F" w14:textId="60EB595E" w:rsidR="004753FB" w:rsidRDefault="001542BC">
    <w:pPr>
      <w:pStyle w:val="Header"/>
    </w:pPr>
    <w:r w:rsidRPr="00240839">
      <w:rPr>
        <w:noProof/>
      </w:rPr>
      <w:drawing>
        <wp:anchor distT="0" distB="0" distL="114300" distR="114300" simplePos="0" relativeHeight="251658240" behindDoc="0" locked="1" layoutInCell="1" allowOverlap="1" wp14:anchorId="3FD0442A" wp14:editId="389342F5">
          <wp:simplePos x="0" y="0"/>
          <wp:positionH relativeFrom="page">
            <wp:posOffset>585912</wp:posOffset>
          </wp:positionH>
          <wp:positionV relativeFrom="page">
            <wp:posOffset>76797</wp:posOffset>
          </wp:positionV>
          <wp:extent cx="934130" cy="755865"/>
          <wp:effectExtent l="0" t="0" r="0" b="0"/>
          <wp:wrapNone/>
          <wp:docPr id="12" name="imgLogoE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1">
                    <a:extLst>
                      <a:ext uri="{28A0092B-C50C-407E-A947-70E740481C1C}">
                        <a14:useLocalDpi xmlns:a14="http://schemas.microsoft.com/office/drawing/2010/main" val="0"/>
                      </a:ext>
                    </a:extLst>
                  </a:blip>
                  <a:stretch>
                    <a:fillRect/>
                  </a:stretch>
                </pic:blipFill>
                <pic:spPr>
                  <a:xfrm>
                    <a:off x="0" y="0"/>
                    <a:ext cx="938547" cy="759439"/>
                  </a:xfrm>
                  <a:prstGeom prst="rect">
                    <a:avLst/>
                  </a:prstGeom>
                </pic:spPr>
              </pic:pic>
            </a:graphicData>
          </a:graphic>
          <wp14:sizeRelH relativeFrom="page">
            <wp14:pctWidth>0</wp14:pctWidth>
          </wp14:sizeRelH>
          <wp14:sizeRelV relativeFrom="page">
            <wp14:pctHeight>0</wp14:pctHeight>
          </wp14:sizeRelV>
        </wp:anchor>
      </w:drawing>
    </w:r>
    <w:r w:rsidRPr="00240839">
      <w:rPr>
        <w:noProof/>
      </w:rPr>
      <w:drawing>
        <wp:anchor distT="0" distB="0" distL="114300" distR="114300" simplePos="0" relativeHeight="251658241" behindDoc="0" locked="1" layoutInCell="1" allowOverlap="1" wp14:anchorId="6005F3B8" wp14:editId="047C702C">
          <wp:simplePos x="0" y="0"/>
          <wp:positionH relativeFrom="rightMargin">
            <wp:posOffset>-171829</wp:posOffset>
          </wp:positionH>
          <wp:positionV relativeFrom="page">
            <wp:posOffset>297799</wp:posOffset>
          </wp:positionV>
          <wp:extent cx="611736" cy="495241"/>
          <wp:effectExtent l="0" t="0" r="0" b="635"/>
          <wp:wrapNone/>
          <wp:docPr id="11" name="imgLogo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EU"/>
                  <pic:cNvPicPr/>
                </pic:nvPicPr>
                <pic:blipFill>
                  <a:blip r:embed="rId2">
                    <a:extLst>
                      <a:ext uri="{28A0092B-C50C-407E-A947-70E740481C1C}">
                        <a14:useLocalDpi xmlns:a14="http://schemas.microsoft.com/office/drawing/2010/main" val="0"/>
                      </a:ext>
                    </a:extLst>
                  </a:blip>
                  <a:stretch>
                    <a:fillRect/>
                  </a:stretch>
                </pic:blipFill>
                <pic:spPr>
                  <a:xfrm>
                    <a:off x="0" y="0"/>
                    <a:ext cx="619118" cy="501217"/>
                  </a:xfrm>
                  <a:prstGeom prst="rect">
                    <a:avLst/>
                  </a:prstGeom>
                </pic:spPr>
              </pic:pic>
            </a:graphicData>
          </a:graphic>
          <wp14:sizeRelH relativeFrom="margin">
            <wp14:pctWidth>0</wp14:pctWidth>
          </wp14:sizeRelH>
          <wp14:sizeRelV relativeFrom="margin">
            <wp14:pctHeight>0</wp14:pctHeight>
          </wp14:sizeRelV>
        </wp:anchor>
      </w:drawing>
    </w:r>
    <w:r w:rsidRPr="0054544A">
      <w:rPr>
        <w:noProof/>
      </w:rPr>
      <w:drawing>
        <wp:anchor distT="0" distB="0" distL="114300" distR="114300" simplePos="0" relativeHeight="251658242" behindDoc="1" locked="0" layoutInCell="1" allowOverlap="1" wp14:anchorId="12552B31" wp14:editId="34E8002E">
          <wp:simplePos x="0" y="0"/>
          <wp:positionH relativeFrom="margin">
            <wp:posOffset>2222205</wp:posOffset>
          </wp:positionH>
          <wp:positionV relativeFrom="paragraph">
            <wp:posOffset>-130514</wp:posOffset>
          </wp:positionV>
          <wp:extent cx="1422326" cy="495240"/>
          <wp:effectExtent l="0" t="0" r="0" b="0"/>
          <wp:wrapNone/>
          <wp:docPr id="8" name="Picture 8" descr="A screenshot of a computer&#10;&#10;Description automatically generated with medium confidence">
            <a:extLst xmlns:a="http://schemas.openxmlformats.org/drawingml/2006/main">
              <a:ext uri="{FF2B5EF4-FFF2-40B4-BE49-F238E27FC236}">
                <a16:creationId xmlns:a16="http://schemas.microsoft.com/office/drawing/2014/main" id="{D88697F2-BE86-1D2D-2CB5-B747FA7B90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screenshot of a computer&#10;&#10;Description automatically generated with medium confidence">
                    <a:extLst>
                      <a:ext uri="{FF2B5EF4-FFF2-40B4-BE49-F238E27FC236}">
                        <a16:creationId xmlns:a16="http://schemas.microsoft.com/office/drawing/2014/main" id="{D88697F2-BE86-1D2D-2CB5-B747FA7B90B9}"/>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437120" cy="5003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F6D8D"/>
    <w:multiLevelType w:val="multilevel"/>
    <w:tmpl w:val="FB2E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944C2"/>
    <w:multiLevelType w:val="multilevel"/>
    <w:tmpl w:val="24FE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C6A99"/>
    <w:multiLevelType w:val="multilevel"/>
    <w:tmpl w:val="7D1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305B1"/>
    <w:multiLevelType w:val="multilevel"/>
    <w:tmpl w:val="332E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6C7825"/>
    <w:multiLevelType w:val="multilevel"/>
    <w:tmpl w:val="DBEEE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798577">
    <w:abstractNumId w:val="3"/>
  </w:num>
  <w:num w:numId="2" w16cid:durableId="437604958">
    <w:abstractNumId w:val="1"/>
  </w:num>
  <w:num w:numId="3" w16cid:durableId="776484235">
    <w:abstractNumId w:val="0"/>
  </w:num>
  <w:num w:numId="4" w16cid:durableId="565798734">
    <w:abstractNumId w:val="2"/>
  </w:num>
  <w:num w:numId="5" w16cid:durableId="466510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DA"/>
    <w:rsid w:val="00047B0E"/>
    <w:rsid w:val="00060CD4"/>
    <w:rsid w:val="000F787C"/>
    <w:rsid w:val="00114706"/>
    <w:rsid w:val="00142726"/>
    <w:rsid w:val="001542BC"/>
    <w:rsid w:val="001602A6"/>
    <w:rsid w:val="00182423"/>
    <w:rsid w:val="00193B1E"/>
    <w:rsid w:val="001D0F81"/>
    <w:rsid w:val="0022558A"/>
    <w:rsid w:val="002B2E32"/>
    <w:rsid w:val="002D44DA"/>
    <w:rsid w:val="00372D5A"/>
    <w:rsid w:val="00390AF1"/>
    <w:rsid w:val="004055AA"/>
    <w:rsid w:val="00470FAB"/>
    <w:rsid w:val="004753FB"/>
    <w:rsid w:val="004830C0"/>
    <w:rsid w:val="004C4F2A"/>
    <w:rsid w:val="00582FDE"/>
    <w:rsid w:val="005A0283"/>
    <w:rsid w:val="005A73FE"/>
    <w:rsid w:val="005D2AB2"/>
    <w:rsid w:val="006F1C53"/>
    <w:rsid w:val="007F2763"/>
    <w:rsid w:val="008239F5"/>
    <w:rsid w:val="009B701E"/>
    <w:rsid w:val="009F1897"/>
    <w:rsid w:val="00A00780"/>
    <w:rsid w:val="00A7217F"/>
    <w:rsid w:val="00B43C44"/>
    <w:rsid w:val="00C06B33"/>
    <w:rsid w:val="00C61976"/>
    <w:rsid w:val="00DA5F86"/>
    <w:rsid w:val="00DF3169"/>
    <w:rsid w:val="00E467DA"/>
    <w:rsid w:val="00E6365A"/>
    <w:rsid w:val="00E6512B"/>
    <w:rsid w:val="00EA78B6"/>
    <w:rsid w:val="00EB079F"/>
    <w:rsid w:val="00EC4F22"/>
    <w:rsid w:val="00EF1C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65A24"/>
  <w15:chartTrackingRefBased/>
  <w15:docId w15:val="{D217D0A7-B9F9-42C6-94FB-EB727AA7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6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6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6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6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7DA"/>
    <w:rPr>
      <w:rFonts w:eastAsiaTheme="majorEastAsia" w:cstheme="majorBidi"/>
      <w:color w:val="272727" w:themeColor="text1" w:themeTint="D8"/>
    </w:rPr>
  </w:style>
  <w:style w:type="paragraph" w:styleId="Title">
    <w:name w:val="Title"/>
    <w:basedOn w:val="Normal"/>
    <w:next w:val="Normal"/>
    <w:link w:val="TitleChar"/>
    <w:uiPriority w:val="10"/>
    <w:qFormat/>
    <w:rsid w:val="00E46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7DA"/>
    <w:pPr>
      <w:spacing w:before="160"/>
      <w:jc w:val="center"/>
    </w:pPr>
    <w:rPr>
      <w:i/>
      <w:iCs/>
      <w:color w:val="404040" w:themeColor="text1" w:themeTint="BF"/>
    </w:rPr>
  </w:style>
  <w:style w:type="character" w:customStyle="1" w:styleId="QuoteChar">
    <w:name w:val="Quote Char"/>
    <w:basedOn w:val="DefaultParagraphFont"/>
    <w:link w:val="Quote"/>
    <w:uiPriority w:val="29"/>
    <w:rsid w:val="00E467DA"/>
    <w:rPr>
      <w:i/>
      <w:iCs/>
      <w:color w:val="404040" w:themeColor="text1" w:themeTint="BF"/>
    </w:rPr>
  </w:style>
  <w:style w:type="paragraph" w:styleId="ListParagraph">
    <w:name w:val="List Paragraph"/>
    <w:basedOn w:val="Normal"/>
    <w:uiPriority w:val="34"/>
    <w:qFormat/>
    <w:rsid w:val="00E467DA"/>
    <w:pPr>
      <w:ind w:left="720"/>
      <w:contextualSpacing/>
    </w:pPr>
  </w:style>
  <w:style w:type="character" w:styleId="IntenseEmphasis">
    <w:name w:val="Intense Emphasis"/>
    <w:basedOn w:val="DefaultParagraphFont"/>
    <w:uiPriority w:val="21"/>
    <w:qFormat/>
    <w:rsid w:val="00E467DA"/>
    <w:rPr>
      <w:i/>
      <w:iCs/>
      <w:color w:val="0F4761" w:themeColor="accent1" w:themeShade="BF"/>
    </w:rPr>
  </w:style>
  <w:style w:type="paragraph" w:styleId="IntenseQuote">
    <w:name w:val="Intense Quote"/>
    <w:basedOn w:val="Normal"/>
    <w:next w:val="Normal"/>
    <w:link w:val="IntenseQuoteChar"/>
    <w:uiPriority w:val="30"/>
    <w:qFormat/>
    <w:rsid w:val="00E46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7DA"/>
    <w:rPr>
      <w:i/>
      <w:iCs/>
      <w:color w:val="0F4761" w:themeColor="accent1" w:themeShade="BF"/>
    </w:rPr>
  </w:style>
  <w:style w:type="character" w:styleId="IntenseReference">
    <w:name w:val="Intense Reference"/>
    <w:basedOn w:val="DefaultParagraphFont"/>
    <w:uiPriority w:val="32"/>
    <w:qFormat/>
    <w:rsid w:val="00E467DA"/>
    <w:rPr>
      <w:b/>
      <w:bCs/>
      <w:smallCaps/>
      <w:color w:val="0F4761" w:themeColor="accent1" w:themeShade="BF"/>
      <w:spacing w:val="5"/>
    </w:rPr>
  </w:style>
  <w:style w:type="paragraph" w:styleId="Header">
    <w:name w:val="header"/>
    <w:basedOn w:val="Normal"/>
    <w:link w:val="HeaderChar"/>
    <w:uiPriority w:val="99"/>
    <w:unhideWhenUsed/>
    <w:rsid w:val="00E46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7DA"/>
  </w:style>
  <w:style w:type="paragraph" w:styleId="Footer">
    <w:name w:val="footer"/>
    <w:basedOn w:val="Normal"/>
    <w:link w:val="FooterChar"/>
    <w:uiPriority w:val="99"/>
    <w:unhideWhenUsed/>
    <w:rsid w:val="00E46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45B698B556D0B4C9502A5ACF2AED6A9" ma:contentTypeVersion="18" ma:contentTypeDescription="Create a new document." ma:contentTypeScope="" ma:versionID="3432e0d82aa2c6cbc318ab7ebf7bed1a">
  <xsd:schema xmlns:xsd="http://www.w3.org/2001/XMLSchema" xmlns:xs="http://www.w3.org/2001/XMLSchema" xmlns:p="http://schemas.microsoft.com/office/2006/metadata/properties" xmlns:ns2="834c7a77-a186-4b33-ad65-f5fdf95755b4" xmlns:ns3="b3144a11-e500-4ade-8fe4-7de3e8b2f8df" targetNamespace="http://schemas.microsoft.com/office/2006/metadata/properties" ma:root="true" ma:fieldsID="e892449e9d01326dccfd0f4574390e63" ns2:_="" ns3:_="">
    <xsd:import namespace="834c7a77-a186-4b33-ad65-f5fdf95755b4"/>
    <xsd:import namespace="b3144a11-e500-4ade-8fe4-7de3e8b2f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c7a77-a186-4b33-ad65-f5fdf9575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44a11-e500-4ade-8fe4-7de3e8b2f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0d01145-b743-4b9f-bd72-c5f5060489c5}" ma:internalName="TaxCatchAll" ma:showField="CatchAllData" ma:web="b3144a11-e500-4ade-8fe4-7de3e8b2f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4c7a77-a186-4b33-ad65-f5fdf95755b4">
      <Terms xmlns="http://schemas.microsoft.com/office/infopath/2007/PartnerControls"/>
    </lcf76f155ced4ddcb4097134ff3c332f>
    <TaxCatchAll xmlns="b3144a11-e500-4ade-8fe4-7de3e8b2f8df" xsi:nil="true"/>
    <_dlc_DocId xmlns="b3144a11-e500-4ade-8fe4-7de3e8b2f8df">DMSPOL-593052326-20790</_dlc_DocId>
    <_dlc_DocIdUrl xmlns="b3144a11-e500-4ade-8fe4-7de3e8b2f8df">
      <Url>https://europeantrainingfoundation.sharepoint.com/sites/PAU/_layouts/15/DocIdRedir.aspx?ID=DMSPOL-593052326-20790</Url>
      <Description>DMSPOL-593052326-20790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D2E2D-B1EE-4663-B0B5-6254722794A3}">
  <ds:schemaRefs>
    <ds:schemaRef ds:uri="http://schemas.microsoft.com/sharepoint/events"/>
  </ds:schemaRefs>
</ds:datastoreItem>
</file>

<file path=customXml/itemProps2.xml><?xml version="1.0" encoding="utf-8"?>
<ds:datastoreItem xmlns:ds="http://schemas.openxmlformats.org/officeDocument/2006/customXml" ds:itemID="{A2332E81-AFD0-4209-BD48-24EFFABC3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c7a77-a186-4b33-ad65-f5fdf95755b4"/>
    <ds:schemaRef ds:uri="b3144a11-e500-4ade-8fe4-7de3e8b2f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8738F-5AD3-4828-9960-3B53B775265E}">
  <ds:schemaRefs>
    <ds:schemaRef ds:uri="http://schemas.microsoft.com/office/2006/metadata/properties"/>
    <ds:schemaRef ds:uri="http://schemas.microsoft.com/office/infopath/2007/PartnerControls"/>
    <ds:schemaRef ds:uri="834c7a77-a186-4b33-ad65-f5fdf95755b4"/>
    <ds:schemaRef ds:uri="b3144a11-e500-4ade-8fe4-7de3e8b2f8df"/>
  </ds:schemaRefs>
</ds:datastoreItem>
</file>

<file path=customXml/itemProps4.xml><?xml version="1.0" encoding="utf-8"?>
<ds:datastoreItem xmlns:ds="http://schemas.openxmlformats.org/officeDocument/2006/customXml" ds:itemID="{36BBDF9C-E081-41E9-9DD7-F40CD56EB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Stronkowski (ETF)</dc:creator>
  <cp:keywords/>
  <dc:description/>
  <cp:lastModifiedBy>Piotr Stronkowski (ETF)</cp:lastModifiedBy>
  <cp:revision>2</cp:revision>
  <dcterms:created xsi:type="dcterms:W3CDTF">2026-04-29T10:28:00Z</dcterms:created>
  <dcterms:modified xsi:type="dcterms:W3CDTF">2026-04-29T10:28:00Z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0x010100C45B698B556D0B4C9502A5ACF2AED6A9</vt:lpwstr>
  </property>
  <property fmtid="{D5CDD505-2E9C-101B-9397-08002B2CF9AE}" pid="3" name="_dlc_DocIdItemGuid">
    <vt:lpwstr>3b9c091d-224e-4035-878e-d06a4821a6db</vt:lpwstr>
  </property>
  <property fmtid="{D5CDD505-2E9C-101B-9397-08002B2CF9AE}" pid="4" name="MediaServiceImageTags">
    <vt:lpwstr/>
  </property>
  <property fmtid="{D5CDD505-2E9C-101B-9397-08002B2CF9AE}" pid="6" name="docLang">
    <vt:lpwstr>en</vt:lpwstr>
  </property>
</Properties>
</file>