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9741F" w14:textId="77777777" w:rsidR="00E467DA" w:rsidRPr="00155433" w:rsidRDefault="00E467DA" w:rsidP="009B701E">
      <w:pPr>
        <w:pStyle w:val="Heading1"/>
        <w:rPr>
          <w:lang w:val="ro-RO"/>
        </w:rPr>
      </w:pPr>
      <w:r w:rsidRPr="00155433">
        <w:rPr>
          <w:lang w:val="ro-RO"/>
        </w:rPr>
        <w:t>Studiul de caz nr. 1 — Estonia</w:t>
      </w:r>
    </w:p>
    <w:p w14:paraId="61E8A2F3" w14:textId="674465A2" w:rsidR="00E467DA" w:rsidRPr="00155433" w:rsidRDefault="00E467DA" w:rsidP="009B701E">
      <w:pPr>
        <w:pStyle w:val="Heading2"/>
        <w:rPr>
          <w:lang w:val="ro-RO"/>
        </w:rPr>
      </w:pPr>
      <w:r w:rsidRPr="00155433">
        <w:rPr>
          <w:lang w:val="ro-RO"/>
        </w:rPr>
        <w:t>Strategia „Educația 2021–2035”</w:t>
      </w:r>
    </w:p>
    <w:p w14:paraId="34C02E60" w14:textId="77777777" w:rsidR="00E467DA" w:rsidRPr="00155433" w:rsidRDefault="00E467DA" w:rsidP="00E467DA">
      <w:pPr>
        <w:rPr>
          <w:b/>
          <w:bCs/>
          <w:lang w:val="ro-RO"/>
        </w:rPr>
      </w:pPr>
      <w:r w:rsidRPr="00155433">
        <w:rPr>
          <w:b/>
          <w:bCs/>
          <w:lang w:val="ro-RO"/>
        </w:rPr>
        <w:t>1. Context</w:t>
      </w:r>
    </w:p>
    <w:p w14:paraId="4BBFFA82" w14:textId="77777777" w:rsidR="00E467DA" w:rsidRPr="00155433" w:rsidRDefault="00E467DA" w:rsidP="00E467DA">
      <w:pPr>
        <w:rPr>
          <w:lang w:val="ro-RO"/>
        </w:rPr>
      </w:pPr>
      <w:r w:rsidRPr="00155433">
        <w:rPr>
          <w:lang w:val="ro-RO"/>
        </w:rPr>
        <w:t xml:space="preserve">În noiembrie 2021, Estonia a adoptat </w:t>
      </w:r>
      <w:r w:rsidRPr="00155433">
        <w:rPr>
          <w:b/>
          <w:bCs/>
          <w:lang w:val="ro-RO"/>
        </w:rPr>
        <w:t>strategia</w:t>
      </w:r>
      <w:r w:rsidRPr="00155433">
        <w:rPr>
          <w:lang w:val="ro-RO"/>
        </w:rPr>
        <w:t xml:space="preserve"> </w:t>
      </w:r>
      <w:r w:rsidRPr="00155433">
        <w:rPr>
          <w:b/>
          <w:bCs/>
          <w:lang w:val="ro-RO"/>
        </w:rPr>
        <w:t>„Educația 2021–2035”</w:t>
      </w:r>
      <w:r w:rsidRPr="00155433">
        <w:rPr>
          <w:lang w:val="ro-RO"/>
        </w:rPr>
        <w:t xml:space="preserve">. Strategia este legată de planul național de dezvoltare mai amplu </w:t>
      </w:r>
      <w:r w:rsidRPr="00155433">
        <w:rPr>
          <w:b/>
          <w:bCs/>
          <w:lang w:val="ro-RO"/>
        </w:rPr>
        <w:t>„Estonia 2035”</w:t>
      </w:r>
      <w:r w:rsidRPr="00155433">
        <w:rPr>
          <w:lang w:val="ro-RO"/>
        </w:rPr>
        <w:t xml:space="preserve"> și are ca scop ghidarea reformei educației pe termen lung la nivelul întregului sistem. Are la bază </w:t>
      </w:r>
      <w:r w:rsidRPr="00155433">
        <w:rPr>
          <w:b/>
          <w:bCs/>
          <w:lang w:val="ro-RO"/>
        </w:rPr>
        <w:t>strategia anterioară a Estoniei privind învățarea pe tot parcursul vieții 2020</w:t>
      </w:r>
      <w:r w:rsidRPr="00155433">
        <w:rPr>
          <w:lang w:val="ro-RO"/>
        </w:rPr>
        <w:t xml:space="preserve">, precum și studii, documente de viziune ale experților, consultări cu părțile interesate și evaluări ale reformelor anterioare. </w:t>
      </w:r>
    </w:p>
    <w:p w14:paraId="1EFA1AB4" w14:textId="77777777" w:rsidR="00E467DA" w:rsidRPr="00155433" w:rsidRDefault="00E467DA" w:rsidP="00E467DA">
      <w:pPr>
        <w:rPr>
          <w:lang w:val="ro-RO"/>
        </w:rPr>
      </w:pPr>
      <w:r w:rsidRPr="00155433">
        <w:rPr>
          <w:lang w:val="ro-RO"/>
        </w:rPr>
        <w:t xml:space="preserve">Documentul pornește de la o poziție relativ solidă. În Estonia, educația este considerată o valoare socială ridicată, iar sistemul prezintă mai multe puncte forte: oportunități egale de învățare, calitate înaltă a educației, universități competitive la nivel internațional, participare ridicată la educația timpurie, o ofertă diversă de învățare nonformală, autonomie instituțională și o politică educațională bazată tot mai mult pe dovezi. </w:t>
      </w:r>
    </w:p>
    <w:p w14:paraId="7BDF3E2F" w14:textId="77777777" w:rsidR="00E467DA" w:rsidRPr="00155433" w:rsidRDefault="00E467DA" w:rsidP="00E467DA">
      <w:pPr>
        <w:rPr>
          <w:lang w:val="ro-RO"/>
        </w:rPr>
      </w:pPr>
      <w:r w:rsidRPr="00155433">
        <w:rPr>
          <w:lang w:val="ro-RO"/>
        </w:rPr>
        <w:t xml:space="preserve">Totuși, strategia nu prezintă Estonia drept o poveste de succes încheiată. Sunt identificate mai multe blocaje: delimitarea neclară a responsabilităților între autoritățile naționale, autoritățile locale și actorii privați; coerență limitată între nivelurile de educație; suprapuneri și concurență între instituții; valoare inegală atribuită diferitelor trasee din învățământul secundar; și inegalități legate de gen, reședință, origine și alți factori. </w:t>
      </w:r>
    </w:p>
    <w:p w14:paraId="3E618643" w14:textId="77777777" w:rsidR="00E467DA" w:rsidRPr="00155433" w:rsidRDefault="00E467DA" w:rsidP="00E467DA">
      <w:pPr>
        <w:rPr>
          <w:b/>
          <w:bCs/>
          <w:lang w:val="ro-RO"/>
        </w:rPr>
      </w:pPr>
      <w:r w:rsidRPr="00155433">
        <w:rPr>
          <w:b/>
          <w:bCs/>
          <w:lang w:val="ro-RO"/>
        </w:rPr>
        <w:t>2. Ambiția centrală</w:t>
      </w:r>
    </w:p>
    <w:p w14:paraId="3E68957A" w14:textId="77777777" w:rsidR="00E467DA" w:rsidRPr="00155433" w:rsidRDefault="00E467DA" w:rsidP="00E467DA">
      <w:pPr>
        <w:rPr>
          <w:lang w:val="ro-RO"/>
        </w:rPr>
      </w:pPr>
      <w:r w:rsidRPr="00155433">
        <w:rPr>
          <w:lang w:val="ro-RO"/>
        </w:rPr>
        <w:t>Obiectivul general al strategiei este:</w:t>
      </w:r>
    </w:p>
    <w:p w14:paraId="4D3B3AB1" w14:textId="77777777" w:rsidR="00E467DA" w:rsidRPr="00155433" w:rsidRDefault="00E467DA" w:rsidP="00E467DA">
      <w:pPr>
        <w:rPr>
          <w:lang w:val="ro-RO"/>
        </w:rPr>
      </w:pPr>
      <w:r w:rsidRPr="00155433">
        <w:rPr>
          <w:lang w:val="ro-RO"/>
        </w:rPr>
        <w:t>Dotarea populației din Estonia cu cunoștințele, competențele și atitudinile necesare pentru a-și valorifica potențialul pe plan personal, profesional și social și pentru a contribui la calitatea vieții în Estonia și la dezvoltarea durabilă la nivel global.</w:t>
      </w:r>
    </w:p>
    <w:p w14:paraId="74477C2D" w14:textId="77777777" w:rsidR="00E467DA" w:rsidRPr="00155433" w:rsidRDefault="00E467DA" w:rsidP="00E467DA">
      <w:pPr>
        <w:rPr>
          <w:lang w:val="ro-RO"/>
        </w:rPr>
      </w:pPr>
      <w:r w:rsidRPr="00155433">
        <w:rPr>
          <w:lang w:val="ro-RO"/>
        </w:rPr>
        <w:t xml:space="preserve">Strategia se bazează pe </w:t>
      </w:r>
      <w:r w:rsidRPr="00155433">
        <w:rPr>
          <w:b/>
          <w:bCs/>
          <w:lang w:val="ro-RO"/>
        </w:rPr>
        <w:t>trei obiective strategice</w:t>
      </w:r>
      <w:r w:rsidRPr="00155433">
        <w:rPr>
          <w:lang w:val="ro-RO"/>
        </w:rPr>
        <w:t>:</w:t>
      </w:r>
    </w:p>
    <w:p w14:paraId="7573CF6B" w14:textId="77777777" w:rsidR="00E467DA" w:rsidRPr="00155433" w:rsidRDefault="00E467DA" w:rsidP="00E467DA">
      <w:pPr>
        <w:numPr>
          <w:ilvl w:val="0"/>
          <w:numId w:val="1"/>
        </w:numPr>
        <w:rPr>
          <w:lang w:val="ro-RO"/>
        </w:rPr>
      </w:pPr>
      <w:r w:rsidRPr="00155433">
        <w:rPr>
          <w:b/>
          <w:bCs/>
          <w:lang w:val="ro-RO"/>
        </w:rPr>
        <w:t>Oportunitățile de învățare sunt diverse și accesibile</w:t>
      </w:r>
      <w:r w:rsidRPr="00155433">
        <w:rPr>
          <w:lang w:val="ro-RO"/>
        </w:rPr>
        <w:t xml:space="preserve">, iar sistemul educațional permite tranziții ușoare între niveluri și tipuri de educație. </w:t>
      </w:r>
    </w:p>
    <w:p w14:paraId="76E92C7C" w14:textId="77777777" w:rsidR="00E467DA" w:rsidRPr="00155433" w:rsidRDefault="00E467DA" w:rsidP="00E467DA">
      <w:pPr>
        <w:numPr>
          <w:ilvl w:val="0"/>
          <w:numId w:val="1"/>
        </w:numPr>
        <w:rPr>
          <w:lang w:val="ro-RO"/>
        </w:rPr>
      </w:pPr>
      <w:r w:rsidRPr="00155433">
        <w:rPr>
          <w:b/>
          <w:bCs/>
          <w:lang w:val="ro-RO"/>
        </w:rPr>
        <w:t>În Estonia există profesori și directori de școli competenți și motivați</w:t>
      </w:r>
      <w:r w:rsidRPr="00155433">
        <w:rPr>
          <w:lang w:val="ro-RO"/>
        </w:rPr>
        <w:t xml:space="preserve">, un mediu de învățare divers și o abordare centrată pe elev. </w:t>
      </w:r>
    </w:p>
    <w:p w14:paraId="6A5C918C" w14:textId="77777777" w:rsidR="00E467DA" w:rsidRPr="00155433" w:rsidRDefault="00E467DA" w:rsidP="00E467DA">
      <w:pPr>
        <w:numPr>
          <w:ilvl w:val="0"/>
          <w:numId w:val="1"/>
        </w:numPr>
        <w:rPr>
          <w:lang w:val="ro-RO"/>
        </w:rPr>
      </w:pPr>
      <w:r w:rsidRPr="00155433">
        <w:rPr>
          <w:b/>
          <w:bCs/>
          <w:lang w:val="ro-RO"/>
        </w:rPr>
        <w:t>Opțiunile de învățare corespund nevoilor de dezvoltare ale societății și ale pieței muncii.</w:t>
      </w:r>
      <w:r w:rsidRPr="00155433">
        <w:rPr>
          <w:lang w:val="ro-RO"/>
        </w:rPr>
        <w:t xml:space="preserve"> </w:t>
      </w:r>
    </w:p>
    <w:p w14:paraId="7C48957A" w14:textId="77777777" w:rsidR="00E467DA" w:rsidRPr="00155433" w:rsidRDefault="00E467DA" w:rsidP="00E467DA">
      <w:pPr>
        <w:rPr>
          <w:b/>
          <w:bCs/>
          <w:lang w:val="ro-RO"/>
        </w:rPr>
      </w:pPr>
      <w:r w:rsidRPr="00155433">
        <w:rPr>
          <w:b/>
          <w:bCs/>
          <w:lang w:val="ro-RO"/>
        </w:rPr>
        <w:t xml:space="preserve">3. Diagnostic: ce problemă încearcă Estonia să rezolve? </w:t>
      </w:r>
    </w:p>
    <w:p w14:paraId="079B5F90" w14:textId="77777777" w:rsidR="00E467DA" w:rsidRPr="00155433" w:rsidRDefault="00E467DA" w:rsidP="00E467DA">
      <w:pPr>
        <w:rPr>
          <w:lang w:val="ro-RO"/>
        </w:rPr>
      </w:pPr>
      <w:r w:rsidRPr="00155433">
        <w:rPr>
          <w:lang w:val="ro-RO"/>
        </w:rPr>
        <w:lastRenderedPageBreak/>
        <w:t>Diagnosticul Estoniei nu se rezumă doar la „îmbunătățirea calității”.  Se identifică o provocare mai complexă:</w:t>
      </w:r>
    </w:p>
    <w:p w14:paraId="6EADBCB3" w14:textId="77777777" w:rsidR="00E467DA" w:rsidRPr="00155433" w:rsidRDefault="00E467DA" w:rsidP="00E467DA">
      <w:pPr>
        <w:rPr>
          <w:lang w:val="ro-RO"/>
        </w:rPr>
      </w:pPr>
      <w:r w:rsidRPr="00155433">
        <w:rPr>
          <w:lang w:val="ro-RO"/>
        </w:rPr>
        <w:t>Cum poate un sistem educațional cu performanțe ridicate să rămână incluziv, flexibil și relevant în contextul schimbărilor demografice, al transformării digitale, al schimbărilor de pe piața muncii și al disparităților regionale?</w:t>
      </w:r>
    </w:p>
    <w:p w14:paraId="1A2D115F" w14:textId="77777777" w:rsidR="00E467DA" w:rsidRPr="00155433" w:rsidRDefault="00E467DA" w:rsidP="00E467DA">
      <w:pPr>
        <w:rPr>
          <w:lang w:val="ro-RO"/>
        </w:rPr>
      </w:pPr>
      <w:r w:rsidRPr="00155433">
        <w:rPr>
          <w:lang w:val="ro-RO"/>
        </w:rPr>
        <w:t>Sunt vizibile câteva probleme specifice:</w:t>
      </w:r>
    </w:p>
    <w:p w14:paraId="4E00242E" w14:textId="77777777" w:rsidR="00E467DA" w:rsidRPr="00155433" w:rsidRDefault="00E467DA" w:rsidP="00E467DA">
      <w:pPr>
        <w:numPr>
          <w:ilvl w:val="0"/>
          <w:numId w:val="2"/>
        </w:numPr>
        <w:rPr>
          <w:lang w:val="ro-RO"/>
        </w:rPr>
      </w:pPr>
      <w:r w:rsidRPr="00155433">
        <w:rPr>
          <w:lang w:val="ro-RO"/>
        </w:rPr>
        <w:t xml:space="preserve">Rețeaua de școli trebuie să se adapteze la scăderea populației, menținând în același timp accesul la o educație de înaltă calitate în toate regiunile. </w:t>
      </w:r>
    </w:p>
    <w:p w14:paraId="7678DB2A" w14:textId="77777777" w:rsidR="00E467DA" w:rsidRPr="00155433" w:rsidRDefault="00E467DA" w:rsidP="00E467DA">
      <w:pPr>
        <w:numPr>
          <w:ilvl w:val="0"/>
          <w:numId w:val="2"/>
        </w:numPr>
        <w:rPr>
          <w:lang w:val="ro-RO"/>
        </w:rPr>
      </w:pPr>
      <w:r w:rsidRPr="00155433">
        <w:rPr>
          <w:lang w:val="ro-RO"/>
        </w:rPr>
        <w:t xml:space="preserve">Parcursurile de învățare între învățământul general, profesional și superior, pe de o parte, și educația nonformală și informală, pe de altă parte, rămân insuficient de flexibile. </w:t>
      </w:r>
    </w:p>
    <w:p w14:paraId="157CCE06" w14:textId="77777777" w:rsidR="00E467DA" w:rsidRPr="00155433" w:rsidRDefault="00E467DA" w:rsidP="00E467DA">
      <w:pPr>
        <w:numPr>
          <w:ilvl w:val="0"/>
          <w:numId w:val="2"/>
        </w:numPr>
        <w:rPr>
          <w:lang w:val="ro-RO"/>
        </w:rPr>
      </w:pPr>
      <w:r w:rsidRPr="00155433">
        <w:rPr>
          <w:lang w:val="ro-RO"/>
        </w:rPr>
        <w:t xml:space="preserve">Unele grupuri participă mai puțin la învățarea pe tot parcursul vieții, în special adulții cu calificări mai slabe. </w:t>
      </w:r>
    </w:p>
    <w:p w14:paraId="6FF88814" w14:textId="77777777" w:rsidR="00E467DA" w:rsidRPr="00155433" w:rsidRDefault="00E467DA" w:rsidP="00E467DA">
      <w:pPr>
        <w:numPr>
          <w:ilvl w:val="0"/>
          <w:numId w:val="2"/>
        </w:numPr>
        <w:rPr>
          <w:lang w:val="ro-RO"/>
        </w:rPr>
      </w:pPr>
      <w:r w:rsidRPr="00155433">
        <w:rPr>
          <w:lang w:val="ro-RO"/>
        </w:rPr>
        <w:t xml:space="preserve">Motivația profesorilor, modelele de carieră, dezvoltarea profesională și salarizarea continuă să fie preocupări strategice. </w:t>
      </w:r>
    </w:p>
    <w:p w14:paraId="2C89678B" w14:textId="77777777" w:rsidR="00E467DA" w:rsidRPr="00155433" w:rsidRDefault="00E467DA" w:rsidP="00E467DA">
      <w:pPr>
        <w:numPr>
          <w:ilvl w:val="0"/>
          <w:numId w:val="2"/>
        </w:numPr>
        <w:rPr>
          <w:lang w:val="ro-RO"/>
        </w:rPr>
      </w:pPr>
      <w:r w:rsidRPr="00155433">
        <w:rPr>
          <w:lang w:val="ro-RO"/>
        </w:rPr>
        <w:t xml:space="preserve">Sistemul educațional trebuie să răspundă mai rapid nevoilor pieței muncii și ale societății, inclusiv în privința competențelor digitale, a învățării la locul de muncă și a domeniilor de specializare inteligentă. </w:t>
      </w:r>
    </w:p>
    <w:p w14:paraId="2E561823" w14:textId="77777777" w:rsidR="00E467DA" w:rsidRPr="00155433" w:rsidRDefault="00E467DA" w:rsidP="00E467DA">
      <w:pPr>
        <w:rPr>
          <w:b/>
          <w:bCs/>
          <w:lang w:val="ro-RO"/>
        </w:rPr>
      </w:pPr>
      <w:r w:rsidRPr="00155433">
        <w:rPr>
          <w:b/>
          <w:bCs/>
          <w:lang w:val="ro-RO"/>
        </w:rPr>
        <w:t xml:space="preserve">4. Politică de orientare: care este abordarea strategică? </w:t>
      </w:r>
    </w:p>
    <w:p w14:paraId="37E8CBFC" w14:textId="77777777" w:rsidR="00E467DA" w:rsidRPr="00155433" w:rsidRDefault="00E467DA" w:rsidP="00E467DA">
      <w:pPr>
        <w:rPr>
          <w:lang w:val="ro-RO"/>
        </w:rPr>
      </w:pPr>
      <w:r w:rsidRPr="00155433">
        <w:rPr>
          <w:lang w:val="ro-RO"/>
        </w:rPr>
        <w:t>Politica de orientare poate fi rezumată astfel:</w:t>
      </w:r>
    </w:p>
    <w:p w14:paraId="78E65125" w14:textId="77777777" w:rsidR="00E467DA" w:rsidRPr="00155433" w:rsidRDefault="00E467DA" w:rsidP="00E467DA">
      <w:pPr>
        <w:rPr>
          <w:lang w:val="ro-RO"/>
        </w:rPr>
      </w:pPr>
      <w:r w:rsidRPr="00155433">
        <w:rPr>
          <w:lang w:val="ro-RO"/>
        </w:rPr>
        <w:t>Dezvoltarea unui sistem educațional centrat pe elev, flexibil și bazat pe dovezi, care oferă parcursuri de învățare diverse, întărește rolul profesorilor și consolidează legătura dintre educație, societate și piața muncii.</w:t>
      </w:r>
    </w:p>
    <w:p w14:paraId="36C3E709" w14:textId="5AA0F0CC" w:rsidR="00E467DA" w:rsidRPr="00155433" w:rsidRDefault="00E467DA" w:rsidP="00E467DA">
      <w:pPr>
        <w:rPr>
          <w:lang w:val="ro-RO"/>
        </w:rPr>
      </w:pPr>
      <w:r w:rsidRPr="00155433">
        <w:rPr>
          <w:lang w:val="ro-RO"/>
        </w:rPr>
        <w:t xml:space="preserve">Acest lucru se reflectă în mai multe </w:t>
      </w:r>
      <w:r w:rsidR="00715DBD">
        <w:rPr>
          <w:lang w:val="ro-RO"/>
        </w:rPr>
        <w:t>alegeri</w:t>
      </w:r>
      <w:r w:rsidRPr="00155433">
        <w:rPr>
          <w:lang w:val="ro-RO"/>
        </w:rPr>
        <w:t>:</w:t>
      </w:r>
    </w:p>
    <w:p w14:paraId="14832202" w14:textId="77777777" w:rsidR="00E467DA" w:rsidRPr="00155433" w:rsidRDefault="00E467DA" w:rsidP="00E467DA">
      <w:pPr>
        <w:numPr>
          <w:ilvl w:val="0"/>
          <w:numId w:val="3"/>
        </w:numPr>
        <w:rPr>
          <w:lang w:val="ro-RO"/>
        </w:rPr>
      </w:pPr>
      <w:r w:rsidRPr="00155433">
        <w:rPr>
          <w:lang w:val="ro-RO"/>
        </w:rPr>
        <w:t xml:space="preserve">reducerea barierelor dintre învățarea formală, nonformală și informală; </w:t>
      </w:r>
    </w:p>
    <w:p w14:paraId="05BC631F" w14:textId="77777777" w:rsidR="00E467DA" w:rsidRPr="00155433" w:rsidRDefault="00E467DA" w:rsidP="00E467DA">
      <w:pPr>
        <w:numPr>
          <w:ilvl w:val="0"/>
          <w:numId w:val="3"/>
        </w:numPr>
        <w:rPr>
          <w:lang w:val="ro-RO"/>
        </w:rPr>
      </w:pPr>
      <w:r w:rsidRPr="00155433">
        <w:rPr>
          <w:lang w:val="ro-RO"/>
        </w:rPr>
        <w:t xml:space="preserve">configurarea parcursurilor de învățare astfel încât să fie mai modulare și personalizate; </w:t>
      </w:r>
    </w:p>
    <w:p w14:paraId="27335F2D" w14:textId="77777777" w:rsidR="00E467DA" w:rsidRPr="00155433" w:rsidRDefault="00E467DA" w:rsidP="00E467DA">
      <w:pPr>
        <w:numPr>
          <w:ilvl w:val="0"/>
          <w:numId w:val="3"/>
        </w:numPr>
        <w:rPr>
          <w:lang w:val="ro-RO"/>
        </w:rPr>
      </w:pPr>
      <w:r w:rsidRPr="00155433">
        <w:rPr>
          <w:lang w:val="ro-RO"/>
        </w:rPr>
        <w:t xml:space="preserve">definirea clară a responsabilităților la toate nivelurile de guvernanță; </w:t>
      </w:r>
    </w:p>
    <w:p w14:paraId="78D6FCB0" w14:textId="77777777" w:rsidR="00E467DA" w:rsidRPr="00155433" w:rsidRDefault="00E467DA" w:rsidP="00E467DA">
      <w:pPr>
        <w:numPr>
          <w:ilvl w:val="0"/>
          <w:numId w:val="3"/>
        </w:numPr>
        <w:rPr>
          <w:lang w:val="ro-RO"/>
        </w:rPr>
      </w:pPr>
      <w:r w:rsidRPr="00155433">
        <w:rPr>
          <w:lang w:val="ro-RO"/>
        </w:rPr>
        <w:t xml:space="preserve">consolidarea parcursurilor profesionale ale profesorilor și a dezvoltării profesionale; </w:t>
      </w:r>
    </w:p>
    <w:p w14:paraId="6AA8E6BE" w14:textId="77777777" w:rsidR="00E467DA" w:rsidRPr="00155433" w:rsidRDefault="00E467DA" w:rsidP="00E467DA">
      <w:pPr>
        <w:numPr>
          <w:ilvl w:val="0"/>
          <w:numId w:val="3"/>
        </w:numPr>
        <w:rPr>
          <w:lang w:val="ro-RO"/>
        </w:rPr>
      </w:pPr>
      <w:r w:rsidRPr="00155433">
        <w:rPr>
          <w:lang w:val="ro-RO"/>
        </w:rPr>
        <w:t xml:space="preserve">utilizarea soluțiilor digitale pentru a sprijini personalizarea și inovația; </w:t>
      </w:r>
    </w:p>
    <w:p w14:paraId="6CA8FC22" w14:textId="77777777" w:rsidR="00E467DA" w:rsidRPr="00155433" w:rsidRDefault="00E467DA" w:rsidP="00E467DA">
      <w:pPr>
        <w:numPr>
          <w:ilvl w:val="0"/>
          <w:numId w:val="3"/>
        </w:numPr>
        <w:rPr>
          <w:lang w:val="ro-RO"/>
        </w:rPr>
      </w:pPr>
      <w:r w:rsidRPr="00155433">
        <w:rPr>
          <w:lang w:val="ro-RO"/>
        </w:rPr>
        <w:t xml:space="preserve">extinderea învățării la locul de muncă și a cooperării cu angajatorii. </w:t>
      </w:r>
    </w:p>
    <w:p w14:paraId="29DDA0E2" w14:textId="77777777" w:rsidR="00E467DA" w:rsidRPr="00155433" w:rsidRDefault="00E467DA" w:rsidP="00E467DA">
      <w:pPr>
        <w:rPr>
          <w:b/>
          <w:bCs/>
          <w:lang w:val="ro-RO"/>
        </w:rPr>
      </w:pPr>
      <w:r w:rsidRPr="00155433">
        <w:rPr>
          <w:b/>
          <w:bCs/>
          <w:lang w:val="ro-RO"/>
        </w:rPr>
        <w:t>5. Acțiuni coerente</w:t>
      </w:r>
    </w:p>
    <w:p w14:paraId="3671D3BF" w14:textId="77777777" w:rsidR="00E467DA" w:rsidRPr="00155433" w:rsidRDefault="00E467DA" w:rsidP="00E467DA">
      <w:pPr>
        <w:rPr>
          <w:lang w:val="ro-RO"/>
        </w:rPr>
      </w:pPr>
      <w:r w:rsidRPr="00155433">
        <w:rPr>
          <w:lang w:val="ro-RO"/>
        </w:rPr>
        <w:lastRenderedPageBreak/>
        <w:t>Strategia își corelează obiectivele cu direcții de acțiune. De exemplu:</w:t>
      </w:r>
    </w:p>
    <w:p w14:paraId="47D51177" w14:textId="77777777" w:rsidR="00E467DA" w:rsidRPr="00155433" w:rsidRDefault="00E467DA" w:rsidP="00E467DA">
      <w:pPr>
        <w:numPr>
          <w:ilvl w:val="0"/>
          <w:numId w:val="4"/>
        </w:numPr>
        <w:rPr>
          <w:lang w:val="ro-RO"/>
        </w:rPr>
      </w:pPr>
      <w:r w:rsidRPr="00155433">
        <w:rPr>
          <w:lang w:val="ro-RO"/>
        </w:rPr>
        <w:t xml:space="preserve">restructurarea finanțării și a cadrelor de calitate la toate nivelurile de învățământ; </w:t>
      </w:r>
    </w:p>
    <w:p w14:paraId="540BDC38" w14:textId="77777777" w:rsidR="00E467DA" w:rsidRPr="00155433" w:rsidRDefault="00E467DA" w:rsidP="00E467DA">
      <w:pPr>
        <w:numPr>
          <w:ilvl w:val="0"/>
          <w:numId w:val="4"/>
        </w:numPr>
        <w:rPr>
          <w:lang w:val="ro-RO"/>
        </w:rPr>
      </w:pPr>
      <w:r w:rsidRPr="00155433">
        <w:rPr>
          <w:lang w:val="ro-RO"/>
        </w:rPr>
        <w:t xml:space="preserve">definirea clară a responsabilităților la nivelul învățământului secundar; </w:t>
      </w:r>
    </w:p>
    <w:p w14:paraId="660C2FF3" w14:textId="77777777" w:rsidR="00E467DA" w:rsidRPr="00155433" w:rsidRDefault="00E467DA" w:rsidP="00E467DA">
      <w:pPr>
        <w:numPr>
          <w:ilvl w:val="0"/>
          <w:numId w:val="4"/>
        </w:numPr>
        <w:rPr>
          <w:lang w:val="ro-RO"/>
        </w:rPr>
      </w:pPr>
      <w:r w:rsidRPr="00155433">
        <w:rPr>
          <w:lang w:val="ro-RO"/>
        </w:rPr>
        <w:t xml:space="preserve">dezvoltarea centrelor educaționale regionale;  </w:t>
      </w:r>
    </w:p>
    <w:p w14:paraId="7C9874C9" w14:textId="77777777" w:rsidR="00E467DA" w:rsidRPr="00155433" w:rsidRDefault="00E467DA" w:rsidP="00E467DA">
      <w:pPr>
        <w:numPr>
          <w:ilvl w:val="0"/>
          <w:numId w:val="4"/>
        </w:numPr>
        <w:rPr>
          <w:lang w:val="ro-RO"/>
        </w:rPr>
      </w:pPr>
      <w:r w:rsidRPr="00155433">
        <w:rPr>
          <w:lang w:val="ro-RO"/>
        </w:rPr>
        <w:t xml:space="preserve">crearea centrelor de excelență în învățământul profesional; </w:t>
      </w:r>
    </w:p>
    <w:p w14:paraId="7FC5385B" w14:textId="77777777" w:rsidR="00E467DA" w:rsidRPr="00155433" w:rsidRDefault="00E467DA" w:rsidP="00E467DA">
      <w:pPr>
        <w:numPr>
          <w:ilvl w:val="0"/>
          <w:numId w:val="4"/>
        </w:numPr>
        <w:rPr>
          <w:lang w:val="ro-RO"/>
        </w:rPr>
      </w:pPr>
      <w:r w:rsidRPr="00155433">
        <w:rPr>
          <w:lang w:val="ro-RO"/>
        </w:rPr>
        <w:t xml:space="preserve">consolidarea învățării personalizate și a învățării asistate digital; </w:t>
      </w:r>
    </w:p>
    <w:p w14:paraId="4C0FE648" w14:textId="77777777" w:rsidR="00E467DA" w:rsidRPr="00155433" w:rsidRDefault="00E467DA" w:rsidP="00E467DA">
      <w:pPr>
        <w:numPr>
          <w:ilvl w:val="0"/>
          <w:numId w:val="4"/>
        </w:numPr>
        <w:rPr>
          <w:lang w:val="ro-RO"/>
        </w:rPr>
      </w:pPr>
      <w:r w:rsidRPr="00155433">
        <w:rPr>
          <w:lang w:val="ro-RO"/>
        </w:rPr>
        <w:t xml:space="preserve">extinderea învățării la locul de muncă și a stagiilor de pregătire; </w:t>
      </w:r>
    </w:p>
    <w:p w14:paraId="19022F4D" w14:textId="77777777" w:rsidR="00E467DA" w:rsidRPr="00155433" w:rsidRDefault="00E467DA" w:rsidP="00E467DA">
      <w:pPr>
        <w:numPr>
          <w:ilvl w:val="0"/>
          <w:numId w:val="4"/>
        </w:numPr>
        <w:rPr>
          <w:lang w:val="ro-RO"/>
        </w:rPr>
      </w:pPr>
      <w:r w:rsidRPr="00155433">
        <w:rPr>
          <w:lang w:val="ro-RO"/>
        </w:rPr>
        <w:t xml:space="preserve">elaborarea unor modele de carieră pentru profesori, legate de standardele profesionale, salarizarea și formarea. </w:t>
      </w:r>
    </w:p>
    <w:p w14:paraId="03DD59F8" w14:textId="77777777" w:rsidR="00E467DA" w:rsidRPr="00155433" w:rsidRDefault="00E467DA" w:rsidP="00E467DA">
      <w:pPr>
        <w:rPr>
          <w:lang w:val="ro-RO"/>
        </w:rPr>
      </w:pPr>
      <w:r w:rsidRPr="00155433">
        <w:rPr>
          <w:lang w:val="ro-RO"/>
        </w:rPr>
        <w:t xml:space="preserve">Implementarea este susținută de mecanisme de guvernanță. Ministerul Educației și Cercetării coordonează implementarea, cu sprijinul unui comitet director cu participare largă, care reunește mai multe ministere, reprezentanți ai autorităților locale, angajatori, sindicate, cursanți și experți. Strategia este implementată prin intermediul programelor legate de bugetul de stat și este supusă raportării privind performanța și evaluărilor. </w:t>
      </w:r>
    </w:p>
    <w:p w14:paraId="5DD12D06" w14:textId="77777777" w:rsidR="00E467DA" w:rsidRPr="00155433" w:rsidRDefault="00E467DA" w:rsidP="00E467DA">
      <w:pPr>
        <w:rPr>
          <w:b/>
          <w:bCs/>
          <w:lang w:val="ro-RO"/>
        </w:rPr>
      </w:pPr>
      <w:r w:rsidRPr="00155433">
        <w:rPr>
          <w:b/>
          <w:bCs/>
          <w:lang w:val="ro-RO"/>
        </w:rPr>
        <w:t>6. Întrebări pentru participanți</w:t>
      </w:r>
    </w:p>
    <w:p w14:paraId="3CB92648" w14:textId="77777777" w:rsidR="00E467DA" w:rsidRPr="00155433" w:rsidRDefault="00E467DA" w:rsidP="00E467DA">
      <w:pPr>
        <w:numPr>
          <w:ilvl w:val="0"/>
          <w:numId w:val="5"/>
        </w:numPr>
        <w:rPr>
          <w:lang w:val="ro-RO"/>
        </w:rPr>
      </w:pPr>
      <w:r w:rsidRPr="00155433">
        <w:rPr>
          <w:lang w:val="ro-RO"/>
        </w:rPr>
        <w:t xml:space="preserve">Care este problema reală pe care Estonia încearcă să o rezolve? </w:t>
      </w:r>
    </w:p>
    <w:p w14:paraId="25FE6F99" w14:textId="77777777" w:rsidR="00E467DA" w:rsidRPr="00155433" w:rsidRDefault="00E467DA" w:rsidP="00E467DA">
      <w:pPr>
        <w:numPr>
          <w:ilvl w:val="0"/>
          <w:numId w:val="5"/>
        </w:numPr>
        <w:rPr>
          <w:lang w:val="ro-RO"/>
        </w:rPr>
      </w:pPr>
      <w:r w:rsidRPr="00155433">
        <w:rPr>
          <w:lang w:val="ro-RO"/>
        </w:rPr>
        <w:t xml:space="preserve">Are strategia un diagnostic clar sau descrie prea multe probleme? </w:t>
      </w:r>
    </w:p>
    <w:p w14:paraId="2D0C1973" w14:textId="77777777" w:rsidR="00E467DA" w:rsidRPr="00155433" w:rsidRDefault="00E467DA" w:rsidP="00E467DA">
      <w:pPr>
        <w:numPr>
          <w:ilvl w:val="0"/>
          <w:numId w:val="5"/>
        </w:numPr>
        <w:rPr>
          <w:lang w:val="ro-RO"/>
        </w:rPr>
      </w:pPr>
      <w:r w:rsidRPr="00155433">
        <w:rPr>
          <w:lang w:val="ro-RO"/>
        </w:rPr>
        <w:t xml:space="preserve">Care este politica de orientare propusă? O puteți formula într-o singură propoziție? </w:t>
      </w:r>
    </w:p>
    <w:p w14:paraId="44391496" w14:textId="712FC8A9" w:rsidR="00E467DA" w:rsidRPr="00155433" w:rsidRDefault="00E467DA" w:rsidP="00E467DA">
      <w:pPr>
        <w:numPr>
          <w:ilvl w:val="0"/>
          <w:numId w:val="5"/>
        </w:numPr>
        <w:rPr>
          <w:lang w:val="ro-RO"/>
        </w:rPr>
      </w:pPr>
      <w:r w:rsidRPr="00155433">
        <w:rPr>
          <w:lang w:val="ro-RO"/>
        </w:rPr>
        <w:t xml:space="preserve">Unde observați </w:t>
      </w:r>
      <w:r w:rsidR="00715DBD">
        <w:rPr>
          <w:lang w:val="ro-RO"/>
        </w:rPr>
        <w:t>alegeri</w:t>
      </w:r>
      <w:bookmarkStart w:id="0" w:name="_GoBack"/>
      <w:bookmarkEnd w:id="0"/>
      <w:r w:rsidRPr="00155433">
        <w:rPr>
          <w:lang w:val="ro-RO"/>
        </w:rPr>
        <w:t xml:space="preserve"> strategice? Ce pare să fie prioritar pentru Estonia? </w:t>
      </w:r>
    </w:p>
    <w:p w14:paraId="5CD7A717" w14:textId="77777777" w:rsidR="00E467DA" w:rsidRPr="00155433" w:rsidRDefault="00E467DA" w:rsidP="00E467DA">
      <w:pPr>
        <w:numPr>
          <w:ilvl w:val="0"/>
          <w:numId w:val="5"/>
        </w:numPr>
        <w:rPr>
          <w:lang w:val="ro-RO"/>
        </w:rPr>
      </w:pPr>
      <w:r w:rsidRPr="00155433">
        <w:rPr>
          <w:lang w:val="ro-RO"/>
        </w:rPr>
        <w:t xml:space="preserve">Sunt acțiunile coerente sau reprezintă încă un catalog amplu de reforme? </w:t>
      </w:r>
    </w:p>
    <w:p w14:paraId="58320D13" w14:textId="77777777" w:rsidR="00E467DA" w:rsidRPr="00155433" w:rsidRDefault="00E467DA" w:rsidP="00E467DA">
      <w:pPr>
        <w:numPr>
          <w:ilvl w:val="0"/>
          <w:numId w:val="5"/>
        </w:numPr>
        <w:rPr>
          <w:lang w:val="ro-RO"/>
        </w:rPr>
      </w:pPr>
      <w:r w:rsidRPr="00155433">
        <w:rPr>
          <w:lang w:val="ro-RO"/>
        </w:rPr>
        <w:t>Este aceasta o „strategie bună”, potrivit lui Rumelt?  De ce da sau de ce nu?</w:t>
      </w:r>
    </w:p>
    <w:p w14:paraId="07F1C57D" w14:textId="77777777" w:rsidR="00E467DA" w:rsidRPr="00155433" w:rsidRDefault="00E467DA">
      <w:pPr>
        <w:rPr>
          <w:lang w:val="ro-RO"/>
        </w:rPr>
      </w:pPr>
    </w:p>
    <w:sectPr w:rsidR="00E467DA" w:rsidRPr="0015543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4B97D" w14:textId="77777777" w:rsidR="00EF1C69" w:rsidRDefault="00EF1C69" w:rsidP="00E467DA">
      <w:pPr>
        <w:spacing w:after="0" w:line="240" w:lineRule="auto"/>
      </w:pPr>
      <w:r>
        <w:separator/>
      </w:r>
    </w:p>
  </w:endnote>
  <w:endnote w:type="continuationSeparator" w:id="0">
    <w:p w14:paraId="72A773E6" w14:textId="77777777" w:rsidR="00EF1C69" w:rsidRDefault="00EF1C69" w:rsidP="00E46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394789"/>
      <w:docPartObj>
        <w:docPartGallery w:val="Page Numbers (Bottom of Page)"/>
        <w:docPartUnique/>
      </w:docPartObj>
    </w:sdtPr>
    <w:sdtEndPr/>
    <w:sdtContent>
      <w:p w14:paraId="2899F3AD" w14:textId="3274D351" w:rsidR="00E467DA" w:rsidRDefault="00E467DA">
        <w:pPr>
          <w:pStyle w:val="Footer"/>
          <w:jc w:val="right"/>
        </w:pPr>
        <w:r>
          <w:rPr>
            <w:lang w:val="ro"/>
          </w:rPr>
          <w:fldChar w:fldCharType="begin"/>
        </w:r>
        <w:r>
          <w:rPr>
            <w:lang w:val="ro"/>
          </w:rPr>
          <w:instrText>PAGE   \* MERGEFORMAT</w:instrText>
        </w:r>
        <w:r>
          <w:rPr>
            <w:lang w:val="ro"/>
          </w:rPr>
          <w:fldChar w:fldCharType="separate"/>
        </w:r>
        <w:r w:rsidR="00715DBD">
          <w:rPr>
            <w:noProof/>
            <w:lang w:val="ro"/>
          </w:rPr>
          <w:t>3</w:t>
        </w:r>
        <w:r>
          <w:rPr>
            <w:lang w:val="ro"/>
          </w:rPr>
          <w:fldChar w:fldCharType="end"/>
        </w:r>
      </w:p>
    </w:sdtContent>
  </w:sdt>
  <w:p w14:paraId="1DC7A9A1" w14:textId="77777777" w:rsidR="00DA5F86" w:rsidRPr="00DA5F86" w:rsidRDefault="00DA5F86" w:rsidP="00DA5F86">
    <w:pPr>
      <w:spacing w:after="120" w:line="259" w:lineRule="auto"/>
      <w:rPr>
        <w:rFonts w:ascii="Arial" w:eastAsia="Arial" w:hAnsi="Arial" w:cs="Times New Roman"/>
        <w:b/>
        <w:caps/>
        <w:color w:val="455560"/>
        <w:spacing w:val="40"/>
        <w:kern w:val="0"/>
        <w:sz w:val="20"/>
        <w:szCs w:val="22"/>
        <w14:ligatures w14:val="none"/>
      </w:rPr>
    </w:pPr>
    <w:r>
      <w:rPr>
        <w:rFonts w:ascii="Arial" w:eastAsia="Arial" w:hAnsi="Arial" w:cs="Times New Roman"/>
        <w:b/>
        <w:bCs/>
        <w:caps/>
        <w:color w:val="455560"/>
        <w:kern w:val="0"/>
        <w:sz w:val="20"/>
        <w:szCs w:val="22"/>
        <w:lang w:val="ro"/>
        <w14:ligatures w14:val="none"/>
      </w:rPr>
      <w:t>Planificare strategică pentru politici educaționale durabile</w:t>
    </w:r>
  </w:p>
  <w:p w14:paraId="3EE7659D" w14:textId="18F2525D" w:rsidR="00E467DA" w:rsidRDefault="00E467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434BB" w14:textId="77777777" w:rsidR="00EF1C69" w:rsidRDefault="00EF1C69" w:rsidP="00E467DA">
      <w:pPr>
        <w:spacing w:after="0" w:line="240" w:lineRule="auto"/>
      </w:pPr>
      <w:r>
        <w:separator/>
      </w:r>
    </w:p>
  </w:footnote>
  <w:footnote w:type="continuationSeparator" w:id="0">
    <w:p w14:paraId="4B06D501" w14:textId="77777777" w:rsidR="00EF1C69" w:rsidRDefault="00EF1C69" w:rsidP="00E46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98C8F" w14:textId="60EB595E" w:rsidR="004753FB" w:rsidRDefault="001542BC">
    <w:pPr>
      <w:pStyle w:val="Header"/>
    </w:pPr>
    <w:r>
      <w:rPr>
        <w:noProof/>
        <w:lang w:val="en-US"/>
      </w:rPr>
      <w:drawing>
        <wp:anchor distT="0" distB="0" distL="114300" distR="114300" simplePos="0" relativeHeight="251658240" behindDoc="0" locked="1" layoutInCell="1" allowOverlap="1" wp14:anchorId="3FD0442A" wp14:editId="389342F5">
          <wp:simplePos x="0" y="0"/>
          <wp:positionH relativeFrom="page">
            <wp:posOffset>585912</wp:posOffset>
          </wp:positionH>
          <wp:positionV relativeFrom="page">
            <wp:posOffset>76797</wp:posOffset>
          </wp:positionV>
          <wp:extent cx="934130" cy="755865"/>
          <wp:effectExtent l="0" t="0" r="0" b="0"/>
          <wp:wrapNone/>
          <wp:docPr id="12" name="imgLogoE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LogoETF"/>
                  <pic:cNvPicPr/>
                </pic:nvPicPr>
                <pic:blipFill>
                  <a:blip r:embed="rId1">
                    <a:extLst>
                      <a:ext uri="{28A0092B-C50C-407E-A947-70E740481C1C}">
                        <a14:useLocalDpi xmlns:a14="http://schemas.microsoft.com/office/drawing/2010/main" val="0"/>
                      </a:ext>
                    </a:extLst>
                  </a:blip>
                  <a:stretch>
                    <a:fillRect/>
                  </a:stretch>
                </pic:blipFill>
                <pic:spPr>
                  <a:xfrm>
                    <a:off x="0" y="0"/>
                    <a:ext cx="938547" cy="759439"/>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1" behindDoc="0" locked="1" layoutInCell="1" allowOverlap="1" wp14:anchorId="6005F3B8" wp14:editId="047C702C">
          <wp:simplePos x="0" y="0"/>
          <wp:positionH relativeFrom="rightMargin">
            <wp:posOffset>-171829</wp:posOffset>
          </wp:positionH>
          <wp:positionV relativeFrom="page">
            <wp:posOffset>297799</wp:posOffset>
          </wp:positionV>
          <wp:extent cx="611736" cy="495241"/>
          <wp:effectExtent l="0" t="0" r="0" b="635"/>
          <wp:wrapNone/>
          <wp:docPr id="11" name="imgLogo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LogoEU"/>
                  <pic:cNvPicPr/>
                </pic:nvPicPr>
                <pic:blipFill>
                  <a:blip r:embed="rId2">
                    <a:extLst>
                      <a:ext uri="{28A0092B-C50C-407E-A947-70E740481C1C}">
                        <a14:useLocalDpi xmlns:a14="http://schemas.microsoft.com/office/drawing/2010/main" val="0"/>
                      </a:ext>
                    </a:extLst>
                  </a:blip>
                  <a:stretch>
                    <a:fillRect/>
                  </a:stretch>
                </pic:blipFill>
                <pic:spPr>
                  <a:xfrm>
                    <a:off x="0" y="0"/>
                    <a:ext cx="619118" cy="501217"/>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2" behindDoc="1" locked="0" layoutInCell="1" allowOverlap="1" wp14:anchorId="12552B31" wp14:editId="34E8002E">
          <wp:simplePos x="0" y="0"/>
          <wp:positionH relativeFrom="margin">
            <wp:posOffset>2222205</wp:posOffset>
          </wp:positionH>
          <wp:positionV relativeFrom="paragraph">
            <wp:posOffset>-130514</wp:posOffset>
          </wp:positionV>
          <wp:extent cx="1422326" cy="495240"/>
          <wp:effectExtent l="0" t="0" r="0" b="0"/>
          <wp:wrapNone/>
          <wp:docPr id="8" name="Picture 8" descr="A screenshot of a computer&#10;&#10;Description automatically generated with medium confidenc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88697F2-BE86-1D2D-2CB5-B747FA7B90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screenshot of a computer&#10;&#10;Description automatically generated with medium confidenc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88697F2-BE86-1D2D-2CB5-B747FA7B90B9}"/>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437120" cy="5003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7F6D8D"/>
    <w:multiLevelType w:val="multilevel"/>
    <w:tmpl w:val="FB2E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F944C2"/>
    <w:multiLevelType w:val="multilevel"/>
    <w:tmpl w:val="24FE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EC6A99"/>
    <w:multiLevelType w:val="multilevel"/>
    <w:tmpl w:val="7D1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1305B1"/>
    <w:multiLevelType w:val="multilevel"/>
    <w:tmpl w:val="332ED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6C7825"/>
    <w:multiLevelType w:val="multilevel"/>
    <w:tmpl w:val="DBEEE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DA"/>
    <w:rsid w:val="00047B0E"/>
    <w:rsid w:val="00060CD4"/>
    <w:rsid w:val="000F787C"/>
    <w:rsid w:val="00114706"/>
    <w:rsid w:val="00142726"/>
    <w:rsid w:val="001542BC"/>
    <w:rsid w:val="00155433"/>
    <w:rsid w:val="001602A6"/>
    <w:rsid w:val="00182423"/>
    <w:rsid w:val="00193B1E"/>
    <w:rsid w:val="001D0F81"/>
    <w:rsid w:val="0022558A"/>
    <w:rsid w:val="002B2E32"/>
    <w:rsid w:val="002D44DA"/>
    <w:rsid w:val="00372D5A"/>
    <w:rsid w:val="00390AF1"/>
    <w:rsid w:val="004055AA"/>
    <w:rsid w:val="00470FAB"/>
    <w:rsid w:val="004753FB"/>
    <w:rsid w:val="004830C0"/>
    <w:rsid w:val="004C4F2A"/>
    <w:rsid w:val="00582FDE"/>
    <w:rsid w:val="005A0283"/>
    <w:rsid w:val="005A73FE"/>
    <w:rsid w:val="005D2AB2"/>
    <w:rsid w:val="006F1C53"/>
    <w:rsid w:val="00715DBD"/>
    <w:rsid w:val="007F2763"/>
    <w:rsid w:val="008239F5"/>
    <w:rsid w:val="009B701E"/>
    <w:rsid w:val="009F1897"/>
    <w:rsid w:val="00A00780"/>
    <w:rsid w:val="00A7217F"/>
    <w:rsid w:val="00B43C44"/>
    <w:rsid w:val="00C06B33"/>
    <w:rsid w:val="00C61976"/>
    <w:rsid w:val="00DA5F86"/>
    <w:rsid w:val="00DF3169"/>
    <w:rsid w:val="00E467DA"/>
    <w:rsid w:val="00E6365A"/>
    <w:rsid w:val="00E6512B"/>
    <w:rsid w:val="00EA78B6"/>
    <w:rsid w:val="00EB079F"/>
    <w:rsid w:val="00EC4F22"/>
    <w:rsid w:val="00EF1C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65A24"/>
  <w15:chartTrackingRefBased/>
  <w15:docId w15:val="{D217D0A7-B9F9-42C6-94FB-EB727AA7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6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6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6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6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6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7DA"/>
    <w:rPr>
      <w:rFonts w:eastAsiaTheme="majorEastAsia" w:cstheme="majorBidi"/>
      <w:color w:val="272727" w:themeColor="text1" w:themeTint="D8"/>
    </w:rPr>
  </w:style>
  <w:style w:type="paragraph" w:styleId="Title">
    <w:name w:val="Title"/>
    <w:basedOn w:val="Normal"/>
    <w:next w:val="Normal"/>
    <w:link w:val="TitleChar"/>
    <w:uiPriority w:val="10"/>
    <w:qFormat/>
    <w:rsid w:val="00E46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7DA"/>
    <w:pPr>
      <w:spacing w:before="160"/>
      <w:jc w:val="center"/>
    </w:pPr>
    <w:rPr>
      <w:i/>
      <w:iCs/>
      <w:color w:val="404040" w:themeColor="text1" w:themeTint="BF"/>
    </w:rPr>
  </w:style>
  <w:style w:type="character" w:customStyle="1" w:styleId="QuoteChar">
    <w:name w:val="Quote Char"/>
    <w:basedOn w:val="DefaultParagraphFont"/>
    <w:link w:val="Quote"/>
    <w:uiPriority w:val="29"/>
    <w:rsid w:val="00E467DA"/>
    <w:rPr>
      <w:i/>
      <w:iCs/>
      <w:color w:val="404040" w:themeColor="text1" w:themeTint="BF"/>
    </w:rPr>
  </w:style>
  <w:style w:type="paragraph" w:styleId="ListParagraph">
    <w:name w:val="List Paragraph"/>
    <w:basedOn w:val="Normal"/>
    <w:uiPriority w:val="34"/>
    <w:qFormat/>
    <w:rsid w:val="00E467DA"/>
    <w:pPr>
      <w:ind w:left="720"/>
      <w:contextualSpacing/>
    </w:pPr>
  </w:style>
  <w:style w:type="character" w:styleId="IntenseEmphasis">
    <w:name w:val="Intense Emphasis"/>
    <w:basedOn w:val="DefaultParagraphFont"/>
    <w:uiPriority w:val="21"/>
    <w:qFormat/>
    <w:rsid w:val="00E467DA"/>
    <w:rPr>
      <w:i/>
      <w:iCs/>
      <w:color w:val="0F4761" w:themeColor="accent1" w:themeShade="BF"/>
    </w:rPr>
  </w:style>
  <w:style w:type="paragraph" w:styleId="IntenseQuote">
    <w:name w:val="Intense Quote"/>
    <w:basedOn w:val="Normal"/>
    <w:next w:val="Normal"/>
    <w:link w:val="IntenseQuoteChar"/>
    <w:uiPriority w:val="30"/>
    <w:qFormat/>
    <w:rsid w:val="00E46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7DA"/>
    <w:rPr>
      <w:i/>
      <w:iCs/>
      <w:color w:val="0F4761" w:themeColor="accent1" w:themeShade="BF"/>
    </w:rPr>
  </w:style>
  <w:style w:type="character" w:styleId="IntenseReference">
    <w:name w:val="Intense Reference"/>
    <w:basedOn w:val="DefaultParagraphFont"/>
    <w:uiPriority w:val="32"/>
    <w:qFormat/>
    <w:rsid w:val="00E467DA"/>
    <w:rPr>
      <w:b/>
      <w:bCs/>
      <w:smallCaps/>
      <w:color w:val="0F4761" w:themeColor="accent1" w:themeShade="BF"/>
      <w:spacing w:val="5"/>
    </w:rPr>
  </w:style>
  <w:style w:type="paragraph" w:styleId="Header">
    <w:name w:val="header"/>
    <w:basedOn w:val="Normal"/>
    <w:link w:val="HeaderChar"/>
    <w:uiPriority w:val="99"/>
    <w:unhideWhenUsed/>
    <w:rsid w:val="00E46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7DA"/>
  </w:style>
  <w:style w:type="paragraph" w:styleId="Footer">
    <w:name w:val="footer"/>
    <w:basedOn w:val="Normal"/>
    <w:link w:val="FooterChar"/>
    <w:uiPriority w:val="99"/>
    <w:unhideWhenUsed/>
    <w:rsid w:val="00E46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4c7a77-a186-4b33-ad65-f5fdf95755b4">
      <Terms xmlns="http://schemas.microsoft.com/office/infopath/2007/PartnerControls"/>
    </lcf76f155ced4ddcb4097134ff3c332f>
    <TaxCatchAll xmlns="b3144a11-e500-4ade-8fe4-7de3e8b2f8df" xsi:nil="true"/>
    <_dlc_DocId xmlns="b3144a11-e500-4ade-8fe4-7de3e8b2f8df">DMSPOL-593052326-20988</_dlc_DocId>
    <_dlc_DocIdUrl xmlns="b3144a11-e500-4ade-8fe4-7de3e8b2f8df">
      <Url>https://europeantrainingfoundation.sharepoint.com/sites/PAU/_layouts/15/DocIdRedir.aspx?ID=DMSPOL-593052326-20988</Url>
      <Description>DMSPOL-593052326-20988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5B698B556D0B4C9502A5ACF2AED6A9" ma:contentTypeVersion="18" ma:contentTypeDescription="Create a new document." ma:contentTypeScope="" ma:versionID="3432e0d82aa2c6cbc318ab7ebf7bed1a">
  <xsd:schema xmlns:xsd="http://www.w3.org/2001/XMLSchema" xmlns:xs="http://www.w3.org/2001/XMLSchema" xmlns:p="http://schemas.microsoft.com/office/2006/metadata/properties" xmlns:ns2="834c7a77-a186-4b33-ad65-f5fdf95755b4" xmlns:ns3="b3144a11-e500-4ade-8fe4-7de3e8b2f8df" targetNamespace="http://schemas.microsoft.com/office/2006/metadata/properties" ma:root="true" ma:fieldsID="e892449e9d01326dccfd0f4574390e63" ns2:_="" ns3:_="">
    <xsd:import namespace="834c7a77-a186-4b33-ad65-f5fdf95755b4"/>
    <xsd:import namespace="b3144a11-e500-4ade-8fe4-7de3e8b2f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c7a77-a186-4b33-ad65-f5fdf9575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44a11-e500-4ade-8fe4-7de3e8b2f8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00d01145-b743-4b9f-bd72-c5f5060489c5}" ma:internalName="TaxCatchAll" ma:showField="CatchAllData" ma:web="b3144a11-e500-4ade-8fe4-7de3e8b2f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F8738F-5AD3-4828-9960-3B53B775265E}">
  <ds:schemaRefs>
    <ds:schemaRef ds:uri="http://schemas.microsoft.com/office/2006/metadata/properties"/>
    <ds:schemaRef ds:uri="http://schemas.microsoft.com/office/infopath/2007/PartnerControls"/>
    <ds:schemaRef ds:uri="834c7a77-a186-4b33-ad65-f5fdf95755b4"/>
    <ds:schemaRef ds:uri="b3144a11-e500-4ade-8fe4-7de3e8b2f8df"/>
    <ds:schemaRef ds:uri="67869905-2451-4027-a0ee-a2a1ecae2258"/>
    <ds:schemaRef ds:uri="11e2ca85-ad97-42b1-86ae-1648ef582cfd"/>
  </ds:schemaRefs>
</ds:datastoreItem>
</file>

<file path=customXml/itemProps2.xml><?xml version="1.0" encoding="utf-8"?>
<ds:datastoreItem xmlns:ds="http://schemas.openxmlformats.org/officeDocument/2006/customXml" ds:itemID="{36BBDF9C-E081-41E9-9DD7-F40CD56EB978}">
  <ds:schemaRefs>
    <ds:schemaRef ds:uri="http://schemas.microsoft.com/sharepoint/v3/contenttype/forms"/>
  </ds:schemaRefs>
</ds:datastoreItem>
</file>

<file path=customXml/itemProps3.xml><?xml version="1.0" encoding="utf-8"?>
<ds:datastoreItem xmlns:ds="http://schemas.openxmlformats.org/officeDocument/2006/customXml" ds:itemID="{8D8C1531-A1D8-4B05-B5BE-37D7D1C930B0}"/>
</file>

<file path=customXml/itemProps4.xml><?xml version="1.0" encoding="utf-8"?>
<ds:datastoreItem xmlns:ds="http://schemas.openxmlformats.org/officeDocument/2006/customXml" ds:itemID="{7D526239-E521-4CDF-8C13-54B4AAE04344}"/>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5118</Characters>
  <Application>Microsoft Office Word</Application>
  <DocSecurity>0</DocSecurity>
  <Lines>341</Lines>
  <Paragraphs>241</Paragraphs>
  <ScaleCrop>false</ScaleCrop>
  <Company/>
  <LinksUpToDate>false</LinksUpToDate>
  <CharactersWithSpaces>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Stronkowski (ETF)</dc:creator>
  <cp:keywords/>
  <dc:description/>
  <cp:lastModifiedBy>Microsoft account</cp:lastModifiedBy>
  <cp:revision>4</cp:revision>
  <dcterms:created xsi:type="dcterms:W3CDTF">2026-04-29T10:28:00Z</dcterms:created>
  <dcterms:modified xsi:type="dcterms:W3CDTF">2026-05-05T10:09:00Z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0x010100C45B698B556D0B4C9502A5ACF2AED6A9</vt:lpwstr>
  </property>
  <property fmtid="{D5CDD505-2E9C-101B-9397-08002B2CF9AE}" pid="3" name="_dlc_DocIdItemGuid">
    <vt:lpwstr>2803adc0-fb28-4e52-a7bb-addd56a6a63f</vt:lpwstr>
  </property>
  <property fmtid="{D5CDD505-2E9C-101B-9397-08002B2CF9AE}" pid="4" name="MediaServiceImageTags">
    <vt:lpwstr/>
  </property>
</Properties>
</file>