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7A" w:rsidRDefault="00656BD8">
      <w:pPr>
        <w:pStyle w:val="Bodytext30"/>
        <w:shd w:val="clear" w:color="auto" w:fill="auto"/>
        <w:ind w:left="600"/>
      </w:pPr>
      <w:bookmarkStart w:id="0" w:name="_GoBack"/>
      <w:bookmarkEnd w:id="0"/>
      <w:r>
        <w:rPr>
          <w:rStyle w:val="Bodytext31"/>
          <w:b/>
          <w:bCs/>
        </w:rPr>
        <w:t>CENTRAL</w:t>
      </w:r>
    </w:p>
    <w:p w:rsidR="004B327A" w:rsidRDefault="00656BD8">
      <w:pPr>
        <w:pStyle w:val="Bodytext30"/>
        <w:shd w:val="clear" w:color="auto" w:fill="auto"/>
        <w:spacing w:line="221" w:lineRule="exact"/>
        <w:ind w:left="600"/>
      </w:pPr>
      <w:r>
        <w:rPr>
          <w:rStyle w:val="Bodytext31"/>
          <w:b/>
          <w:bCs/>
        </w:rPr>
        <w:t>COMMISSION</w:t>
      </w:r>
    </w:p>
    <w:p w:rsidR="004B327A" w:rsidRDefault="00656BD8">
      <w:pPr>
        <w:pStyle w:val="Bodytext30"/>
        <w:shd w:val="clear" w:color="auto" w:fill="auto"/>
        <w:spacing w:after="338" w:line="221" w:lineRule="exact"/>
        <w:ind w:left="600"/>
      </w:pPr>
      <w:r>
        <w:rPr>
          <w:rStyle w:val="Bodytext31"/>
          <w:b/>
          <w:bCs/>
        </w:rPr>
        <w:t>EXAMINATION</w:t>
      </w:r>
    </w:p>
    <w:p w:rsidR="004B327A" w:rsidRDefault="00656BD8">
      <w:pPr>
        <w:pStyle w:val="Bodytext40"/>
        <w:shd w:val="clear" w:color="auto" w:fill="auto"/>
        <w:spacing w:before="0"/>
      </w:pPr>
      <w:r>
        <w:t xml:space="preserve">Information from the Director of the Central Examination Board on 15 May 2020 on the </w:t>
      </w:r>
      <w:r>
        <w:rPr>
          <w:rStyle w:val="Bodytext4Italic"/>
          <w:b/>
          <w:bCs/>
        </w:rPr>
        <w:t xml:space="preserve"> Guidelines for the conduct of external examinations in 2020</w:t>
      </w:r>
    </w:p>
    <w:p w:rsidR="004B327A" w:rsidRDefault="00656BD8">
      <w:pPr>
        <w:pStyle w:val="Bodytext20"/>
        <w:shd w:val="clear" w:color="auto" w:fill="auto"/>
        <w:spacing w:before="0" w:after="276"/>
        <w:ind w:firstLine="0"/>
      </w:pPr>
      <w:r>
        <w:t>The</w:t>
      </w:r>
      <w:r>
        <w:t xml:space="preserve"> central examination committee, the Ministry of National Education and the Chief Sanitary Inspectorate have drawn up guidelines for organising and conducting external examinations in 2020: eighth, lower secondary school-leaving certificate and professional</w:t>
      </w:r>
      <w:r>
        <w:t xml:space="preserve"> qualifications.</w:t>
      </w:r>
    </w:p>
    <w:p w:rsidR="004B327A" w:rsidRDefault="00656BD8">
      <w:pPr>
        <w:pStyle w:val="Bodytext20"/>
        <w:shd w:val="clear" w:color="auto" w:fill="auto"/>
        <w:spacing w:before="0" w:after="0" w:line="278" w:lineRule="exact"/>
        <w:ind w:firstLine="0"/>
      </w:pPr>
      <w:r>
        <w:t>The document has been divided into six sections, which set out, inter alia: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78" w:lineRule="exact"/>
        <w:ind w:left="400"/>
      </w:pPr>
      <w:r>
        <w:t>who can be present within the school in the course of the examination and the rules governing the use of equipment in the course of the examinations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 xml:space="preserve">guidelines on </w:t>
      </w:r>
      <w:r>
        <w:t>personal protection measures and other persons involved in the organisation and conduct of examinations, including rules for covering the mouth and nose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>guidelines on security measures in connection with the organisation of space, buildings, premises inclu</w:t>
      </w:r>
      <w:r>
        <w:t>ding arrangements for arranging the school building and test rooms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78" w:lineRule="exact"/>
        <w:ind w:left="400"/>
      </w:pPr>
      <w:r>
        <w:t>guidelines on possible modifications in the manner in which the examination will be carried out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>guidelines on specific arrangements for ensuring the security of the examination of an subjec</w:t>
      </w:r>
      <w:r>
        <w:t>t matter, of the qualification concerned or of the situation in question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/>
        <w:ind w:left="400"/>
      </w:pPr>
      <w:r>
        <w:t>guidelines on how to deal with suspicion of infection with a member of the examination team or in a sentence.</w:t>
      </w:r>
    </w:p>
    <w:p w:rsidR="004B327A" w:rsidRDefault="00656BD8">
      <w:pPr>
        <w:pStyle w:val="Bodytext20"/>
        <w:shd w:val="clear" w:color="auto" w:fill="auto"/>
        <w:spacing w:before="0"/>
        <w:ind w:firstLine="0"/>
      </w:pPr>
      <w:r>
        <w:t>The document contains a number of guidelines, some of which must be implemented on a compulsory basis, and some of them take the form of solutions which the head of the school, centre or establishment chooses to be implemented in the unit concerned.</w:t>
      </w:r>
    </w:p>
    <w:p w:rsidR="004B327A" w:rsidRDefault="00656BD8">
      <w:pPr>
        <w:pStyle w:val="Bodytext20"/>
        <w:shd w:val="clear" w:color="auto" w:fill="auto"/>
        <w:spacing w:before="0" w:after="0"/>
        <w:ind w:firstLine="0"/>
      </w:pPr>
      <w:r>
        <w:t>The gu</w:t>
      </w:r>
      <w:r>
        <w:t>idelines, the implementation of which is mandatory, are, in particular, all guidelines for maintaining a social gap and all disinfection, including: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>obligation to cover the mouth and nose until position in the test room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>need to set the bench in the test ro</w:t>
      </w:r>
      <w:r>
        <w:t>om in such a way that there is at least a 1,5-metre margin in each direction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>obligation to disinfect benches and chairs in the examination room before and after each examination and materials, utensils and tools used by more than one sentence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 xml:space="preserve">the need for </w:t>
      </w:r>
      <w:r>
        <w:t>each person to make use of its own stationery, a line, a circus, a calculator, etc.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/>
        <w:ind w:left="400"/>
      </w:pPr>
      <w:r>
        <w:t>the implementation of all possible solutions to avoid school formation and before and after the examination will provide examples of ways, the head of the school can implem</w:t>
      </w:r>
      <w:r>
        <w:t>ent other, more appropriate, in a specific context.</w:t>
      </w:r>
    </w:p>
    <w:p w:rsidR="004B327A" w:rsidRDefault="00656BD8">
      <w:pPr>
        <w:pStyle w:val="Bodytext20"/>
        <w:shd w:val="clear" w:color="auto" w:fill="auto"/>
        <w:spacing w:before="0" w:after="0" w:line="278" w:lineRule="exact"/>
        <w:ind w:firstLine="0"/>
      </w:pPr>
      <w:r>
        <w:t xml:space="preserve">The </w:t>
      </w:r>
      <w:r>
        <w:rPr>
          <w:rStyle w:val="Bodytext2Italic"/>
        </w:rPr>
        <w:t xml:space="preserve"> Guidelines</w:t>
      </w:r>
      <w:r>
        <w:t xml:space="preserve"> include, inter alia, detailed instructions on how to conduct: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78" w:lineRule="exact"/>
        <w:ind w:firstLine="0"/>
      </w:pPr>
      <w:r>
        <w:t>an examination involving a supporting teacher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/>
        <w:ind w:left="400"/>
      </w:pPr>
      <w:r>
        <w:t>examinations in a place other than school, including at home, in the case of pupils who make use of such an adaptation of the conditions for taking the examination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/>
        <w:ind w:left="400"/>
      </w:pPr>
      <w:r>
        <w:t>oral part of the school-leaving examination (only to be carried out at the request of the pe</w:t>
      </w:r>
      <w:r>
        <w:t>rson who must pass the result of the examination of a recruitment examination to a foreign establishment)</w:t>
      </w:r>
    </w:p>
    <w:p w:rsidR="004B327A" w:rsidRDefault="00656BD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/>
        <w:ind w:left="400"/>
      </w:pPr>
      <w:r>
        <w:t xml:space="preserve">examination of professional qualifications in qualifications where the assignment of </w:t>
      </w:r>
      <w:r>
        <w:lastRenderedPageBreak/>
        <w:t>a task or of examination tasks requires direct contact with anoth</w:t>
      </w:r>
      <w:r>
        <w:t>er person,</w:t>
      </w:r>
    </w:p>
    <w:p w:rsidR="004B327A" w:rsidRDefault="00656BD8">
      <w:pPr>
        <w:pStyle w:val="Bodytext20"/>
        <w:shd w:val="clear" w:color="auto" w:fill="auto"/>
        <w:spacing w:before="0" w:after="260"/>
        <w:ind w:firstLine="0"/>
      </w:pPr>
      <w:r>
        <w:t>and other indications on the recommended treatment to be followed in specific situations, such as those who, for health reasons, cannot cover the mouth and nasal mask.</w:t>
      </w:r>
    </w:p>
    <w:p w:rsidR="004B327A" w:rsidRDefault="00656BD8">
      <w:pPr>
        <w:pStyle w:val="Bodytext20"/>
        <w:shd w:val="clear" w:color="auto" w:fill="auto"/>
        <w:spacing w:before="0" w:after="0"/>
        <w:ind w:firstLine="0"/>
      </w:pPr>
      <w:r>
        <w:t>The</w:t>
      </w:r>
      <w:r>
        <w:t xml:space="preserve"> implementation of the arrangements described in the</w:t>
      </w:r>
      <w:r>
        <w:rPr>
          <w:rStyle w:val="Bodytext2Italic"/>
        </w:rPr>
        <w:t xml:space="preserve"> Guidelines</w:t>
      </w:r>
      <w:r>
        <w:t xml:space="preserve"> will requi</w:t>
      </w:r>
      <w:r>
        <w:t xml:space="preserve">re the introduction of administrative, technical changes, for example, in the information systems for the conduct of examinations and the adoption in 2020 of specific arrangements for the conduct of examinations. </w:t>
      </w:r>
    </w:p>
    <w:p w:rsidR="004B327A" w:rsidRDefault="00656BD8">
      <w:pPr>
        <w:pStyle w:val="Bodytext20"/>
        <w:shd w:val="clear" w:color="auto" w:fill="auto"/>
        <w:spacing w:before="0" w:after="545"/>
        <w:ind w:firstLine="0"/>
      </w:pPr>
      <w:r>
        <w:t>The</w:t>
      </w:r>
      <w:r>
        <w:t xml:space="preserve"> most important of these changes are se</w:t>
      </w:r>
      <w:r>
        <w:t>t out in the document in the special boxes. In addition</w:t>
      </w:r>
      <w:r>
        <w:rPr>
          <w:rStyle w:val="Bodytext2Italic"/>
        </w:rPr>
        <w:t>,</w:t>
      </w:r>
      <w:r>
        <w:t xml:space="preserve"> the</w:t>
      </w:r>
      <w:r>
        <w:t xml:space="preserve"> special symbol indicates the information that is recommended to be transmitted several days before the examination, for example on the school’s website, and information which should be communicat</w:t>
      </w:r>
      <w:r>
        <w:t>ed again on the day of the examination. In addition to the document, a poster will be prepared with the most important information for the sentence that the school head can enter or print on the school’s website and put them on the school.</w:t>
      </w:r>
    </w:p>
    <w:p w:rsidR="004B327A" w:rsidRDefault="00656BD8">
      <w:pPr>
        <w:pStyle w:val="Bodytext50"/>
        <w:shd w:val="clear" w:color="auto" w:fill="auto"/>
        <w:spacing w:before="0"/>
      </w:pPr>
      <w:r>
        <w:t>Dr Marcin Smolik</w:t>
      </w:r>
    </w:p>
    <w:p w:rsidR="004B327A" w:rsidRDefault="00656BD8">
      <w:pPr>
        <w:pStyle w:val="Bodytext50"/>
        <w:shd w:val="clear" w:color="auto" w:fill="auto"/>
        <w:spacing w:before="0" w:after="5494"/>
      </w:pPr>
      <w:r>
        <w:t>Director of the Central Examination Board</w:t>
      </w:r>
    </w:p>
    <w:p w:rsidR="004B327A" w:rsidRDefault="00656BD8">
      <w:pPr>
        <w:pStyle w:val="Bodytext60"/>
        <w:shd w:val="clear" w:color="auto" w:fill="auto"/>
        <w:spacing w:before="0"/>
        <w:ind w:left="540"/>
      </w:pPr>
      <w:r>
        <w:rPr>
          <w:rStyle w:val="Bodytext61"/>
          <w:b/>
          <w:bCs/>
        </w:rPr>
        <w:t>CENTRAL</w:t>
      </w:r>
    </w:p>
    <w:p w:rsidR="004B327A" w:rsidRDefault="00656BD8">
      <w:pPr>
        <w:pStyle w:val="Bodytext70"/>
        <w:shd w:val="clear" w:color="auto" w:fill="auto"/>
        <w:tabs>
          <w:tab w:val="left" w:pos="8153"/>
        </w:tabs>
        <w:ind w:left="540"/>
      </w:pPr>
      <w:r>
        <w:rPr>
          <w:rStyle w:val="Bodytext7Bold"/>
        </w:rPr>
        <w:t>Commission</w:t>
      </w:r>
      <w:r>
        <w:tab/>
      </w:r>
      <w:r>
        <w:t xml:space="preserve"> Page 2 of 2</w:t>
      </w:r>
    </w:p>
    <w:p w:rsidR="004B327A" w:rsidRDefault="00656BD8">
      <w:pPr>
        <w:pStyle w:val="Bodytext60"/>
        <w:shd w:val="clear" w:color="auto" w:fill="auto"/>
        <w:spacing w:before="0"/>
        <w:ind w:left="540"/>
      </w:pPr>
      <w:r>
        <w:rPr>
          <w:rStyle w:val="Bodytext61"/>
          <w:b/>
          <w:bCs/>
        </w:rPr>
        <w:t>EXAMINATION</w:t>
      </w:r>
    </w:p>
    <w:sectPr w:rsidR="004B327A">
      <w:pgSz w:w="11900" w:h="16840"/>
      <w:pgMar w:top="1049" w:right="1378" w:bottom="838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D8" w:rsidRDefault="00656BD8">
      <w:r>
        <w:separator/>
      </w:r>
    </w:p>
  </w:endnote>
  <w:endnote w:type="continuationSeparator" w:id="0">
    <w:p w:rsidR="00656BD8" w:rsidRDefault="0065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D8" w:rsidRDefault="00656BD8"/>
  </w:footnote>
  <w:footnote w:type="continuationSeparator" w:id="0">
    <w:p w:rsidR="00656BD8" w:rsidRDefault="00656B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C4AA0"/>
    <w:multiLevelType w:val="multilevel"/>
    <w:tmpl w:val="32E024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7A"/>
    <w:rsid w:val="004B327A"/>
    <w:rsid w:val="00656BD8"/>
    <w:rsid w:val="0083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817FE-0AEC-410C-AB21-992E565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02020"/>
      <w:spacing w:val="0"/>
      <w:w w:val="100"/>
      <w:position w:val="0"/>
      <w:sz w:val="20"/>
      <w:szCs w:val="20"/>
      <w:u w:val="none"/>
      <w:lang w:val="en-US" w:eastAsia="pl-PL" w:bidi="pl-PL"/>
    </w:rPr>
  </w:style>
  <w:style w:type="character" w:customStyle="1" w:styleId="Bodytext4">
    <w:name w:val="Body text|4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Italic">
    <w:name w:val="Body text|4 + Italic"/>
    <w:basedOn w:val="Bodytext4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pl-PL" w:bidi="pl-PL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pl-PL" w:bidi="pl-PL"/>
    </w:rPr>
  </w:style>
  <w:style w:type="character" w:customStyle="1" w:styleId="Bodytext5">
    <w:name w:val="Body text|5_"/>
    <w:basedOn w:val="DefaultParagraphFont"/>
    <w:link w:val="Bodytext5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Bodytext6">
    <w:name w:val="Body text|6_"/>
    <w:basedOn w:val="DefaultParagraphFont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02020"/>
      <w:spacing w:val="0"/>
      <w:w w:val="100"/>
      <w:position w:val="0"/>
      <w:sz w:val="18"/>
      <w:szCs w:val="18"/>
      <w:u w:val="none"/>
      <w:lang w:val="en-US" w:eastAsia="pl-PL" w:bidi="pl-PL"/>
    </w:rPr>
  </w:style>
  <w:style w:type="character" w:customStyle="1" w:styleId="Bodytext7">
    <w:name w:val="Body text|7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Bold">
    <w:name w:val="Body text|7 + Bold"/>
    <w:basedOn w:val="Bodytext7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02020"/>
      <w:spacing w:val="0"/>
      <w:w w:val="100"/>
      <w:position w:val="0"/>
      <w:sz w:val="18"/>
      <w:szCs w:val="18"/>
      <w:u w:val="none"/>
      <w:lang w:val="en-US" w:eastAsia="pl-PL" w:bidi="pl-PL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spacing w:before="380" w:after="560" w:line="274" w:lineRule="exact"/>
      <w:jc w:val="both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al"/>
    <w:link w:val="Bodytext2"/>
    <w:qFormat/>
    <w:pPr>
      <w:shd w:val="clear" w:color="auto" w:fill="FFFFFF"/>
      <w:spacing w:before="560" w:after="280" w:line="274" w:lineRule="exact"/>
      <w:ind w:hanging="400"/>
    </w:pPr>
    <w:rPr>
      <w:rFonts w:ascii="Arial" w:eastAsia="Arial" w:hAnsi="Arial" w:cs="Arial"/>
    </w:rPr>
  </w:style>
  <w:style w:type="paragraph" w:customStyle="1" w:styleId="Bodytext50">
    <w:name w:val="Body text|5"/>
    <w:basedOn w:val="Normal"/>
    <w:link w:val="Bodytext5"/>
    <w:pPr>
      <w:shd w:val="clear" w:color="auto" w:fill="FFFFFF"/>
      <w:spacing w:before="540" w:line="268" w:lineRule="exact"/>
    </w:pPr>
    <w:rPr>
      <w:rFonts w:ascii="Arial" w:eastAsia="Arial" w:hAnsi="Arial" w:cs="Arial"/>
      <w:i/>
      <w:iCs/>
    </w:rPr>
  </w:style>
  <w:style w:type="paragraph" w:customStyle="1" w:styleId="Bodytext60">
    <w:name w:val="Body text|6"/>
    <w:basedOn w:val="Normal"/>
    <w:link w:val="Bodytext6"/>
    <w:pPr>
      <w:shd w:val="clear" w:color="auto" w:fill="FFFFFF"/>
      <w:spacing w:before="544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0">
    <w:name w:val="Body text|7"/>
    <w:basedOn w:val="Normal"/>
    <w:link w:val="Bodytext7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ETF Member</dc:creator>
  <cp:lastModifiedBy>Jolien van Uden</cp:lastModifiedBy>
  <cp:revision>2</cp:revision>
  <dcterms:created xsi:type="dcterms:W3CDTF">2020-05-19T10:13:00Z</dcterms:created>
  <dcterms:modified xsi:type="dcterms:W3CDTF">2020-05-19T10:13:00Z</dcterms:modified>
</cp:coreProperties>
</file>