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FD" w:rsidRDefault="00E90AFD" w:rsidP="004C1472"/>
    <w:p w:rsidR="004C1472" w:rsidRDefault="004C1472" w:rsidP="004C1472"/>
    <w:p w:rsidR="004C1472" w:rsidRDefault="004C1472" w:rsidP="004C1472"/>
    <w:p w:rsidR="004C1472" w:rsidRDefault="004C1472" w:rsidP="004C1472"/>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552"/>
        <w:gridCol w:w="4615"/>
      </w:tblGrid>
      <w:tr w:rsidR="00E90AFD" w:rsidRPr="00165CC2" w:rsidTr="003E3A4C">
        <w:trPr>
          <w:trHeight w:val="397"/>
        </w:trPr>
        <w:tc>
          <w:tcPr>
            <w:tcW w:w="2552" w:type="dxa"/>
            <w:shd w:val="clear" w:color="auto" w:fill="auto"/>
          </w:tcPr>
          <w:p w:rsidR="00C54BFD" w:rsidRDefault="00C54BFD" w:rsidP="00E90AFD">
            <w:pPr>
              <w:pStyle w:val="Corpsdetexte"/>
              <w:rPr>
                <w:color w:val="0092BB" w:themeColor="accent1"/>
              </w:rPr>
            </w:pPr>
          </w:p>
          <w:p w:rsidR="00C54BFD" w:rsidRDefault="00C54BFD" w:rsidP="00E90AFD">
            <w:pPr>
              <w:pStyle w:val="Corpsdetexte"/>
              <w:rPr>
                <w:color w:val="0092BB" w:themeColor="accent1"/>
              </w:rPr>
            </w:pPr>
          </w:p>
          <w:p w:rsidR="00E90AFD" w:rsidRPr="00542C57" w:rsidRDefault="003E3A4C" w:rsidP="00E90AFD">
            <w:pPr>
              <w:pStyle w:val="Corpsdetexte"/>
              <w:rPr>
                <w:color w:val="0092BB" w:themeColor="accent1"/>
              </w:rPr>
            </w:pPr>
            <w:r w:rsidRPr="003E3A4C">
              <w:rPr>
                <w:color w:val="0092BB" w:themeColor="accent1"/>
              </w:rPr>
              <w:t>NOM DE L'ÉVÉNEMENT</w:t>
            </w:r>
          </w:p>
        </w:tc>
        <w:tc>
          <w:tcPr>
            <w:tcW w:w="4615" w:type="dxa"/>
            <w:shd w:val="clear" w:color="auto" w:fill="auto"/>
          </w:tcPr>
          <w:p w:rsidR="00C54BFD" w:rsidRDefault="00C54BFD" w:rsidP="003E3A4C">
            <w:pPr>
              <w:pStyle w:val="Corpsdetexte"/>
              <w:rPr>
                <w:b/>
                <w:bCs/>
                <w:lang w:val="fr-FR"/>
              </w:rPr>
            </w:pPr>
          </w:p>
          <w:p w:rsidR="00C54BFD" w:rsidRDefault="00C54BFD" w:rsidP="003E3A4C">
            <w:pPr>
              <w:pStyle w:val="Corpsdetexte"/>
              <w:rPr>
                <w:b/>
                <w:bCs/>
                <w:lang w:val="fr-FR"/>
              </w:rPr>
            </w:pPr>
          </w:p>
          <w:p w:rsidR="00E90AFD" w:rsidRPr="00D47AD5" w:rsidRDefault="00891D80" w:rsidP="003E3A4C">
            <w:pPr>
              <w:pStyle w:val="Corpsdetexte"/>
              <w:rPr>
                <w:b/>
                <w:bCs/>
                <w:lang w:val="fr-FR"/>
              </w:rPr>
            </w:pPr>
            <w:r w:rsidRPr="00D47AD5">
              <w:rPr>
                <w:b/>
                <w:bCs/>
                <w:lang w:val="fr-FR"/>
              </w:rPr>
              <w:t xml:space="preserve">À l'écoute des </w:t>
            </w:r>
            <w:r w:rsidR="003E3A4C" w:rsidRPr="00D47AD5">
              <w:rPr>
                <w:b/>
                <w:bCs/>
                <w:lang w:val="fr-FR"/>
              </w:rPr>
              <w:t>formateurs</w:t>
            </w:r>
            <w:r w:rsidRPr="00D47AD5">
              <w:rPr>
                <w:b/>
                <w:bCs/>
                <w:lang w:val="fr-FR"/>
              </w:rPr>
              <w:t xml:space="preserve"> et des directeurs de </w:t>
            </w:r>
            <w:r w:rsidR="003E3A4C" w:rsidRPr="00D47AD5">
              <w:rPr>
                <w:b/>
                <w:bCs/>
                <w:lang w:val="fr-FR"/>
              </w:rPr>
              <w:t>la formation</w:t>
            </w:r>
            <w:r w:rsidRPr="00D47AD5">
              <w:rPr>
                <w:b/>
                <w:bCs/>
                <w:lang w:val="fr-FR"/>
              </w:rPr>
              <w:t xml:space="preserve"> professionne</w:t>
            </w:r>
            <w:r w:rsidR="003E3A4C" w:rsidRPr="00D47AD5">
              <w:rPr>
                <w:b/>
                <w:bCs/>
                <w:lang w:val="fr-FR"/>
              </w:rPr>
              <w:t>l</w:t>
            </w:r>
            <w:r w:rsidRPr="00D47AD5">
              <w:rPr>
                <w:b/>
                <w:bCs/>
                <w:lang w:val="fr-FR"/>
              </w:rPr>
              <w:t>l</w:t>
            </w:r>
            <w:r w:rsidR="003E3A4C" w:rsidRPr="00D47AD5">
              <w:rPr>
                <w:b/>
                <w:bCs/>
                <w:lang w:val="fr-FR"/>
              </w:rPr>
              <w:t>e</w:t>
            </w:r>
            <w:r w:rsidRPr="00D47AD5">
              <w:rPr>
                <w:b/>
                <w:bCs/>
                <w:lang w:val="fr-FR"/>
              </w:rPr>
              <w:t xml:space="preserve"> en Tunisie</w:t>
            </w:r>
          </w:p>
        </w:tc>
      </w:tr>
      <w:tr w:rsidR="00E90AFD" w:rsidRPr="00165CC2" w:rsidTr="003E3A4C">
        <w:trPr>
          <w:trHeight w:val="397"/>
        </w:trPr>
        <w:tc>
          <w:tcPr>
            <w:tcW w:w="2552" w:type="dxa"/>
            <w:shd w:val="clear" w:color="auto" w:fill="auto"/>
          </w:tcPr>
          <w:p w:rsidR="00E90AFD" w:rsidRPr="00542C57" w:rsidRDefault="004C0BDE" w:rsidP="003E3A4C">
            <w:pPr>
              <w:pStyle w:val="Corpsdetexte"/>
              <w:rPr>
                <w:color w:val="0092BB" w:themeColor="accent1"/>
              </w:rPr>
            </w:pPr>
            <w:r>
              <w:rPr>
                <w:color w:val="0092BB" w:themeColor="accent1"/>
              </w:rPr>
              <w:t>L</w:t>
            </w:r>
            <w:r w:rsidR="003E3A4C">
              <w:rPr>
                <w:color w:val="0092BB" w:themeColor="accent1"/>
              </w:rPr>
              <w:t>IEU</w:t>
            </w:r>
          </w:p>
        </w:tc>
        <w:tc>
          <w:tcPr>
            <w:tcW w:w="4615" w:type="dxa"/>
            <w:shd w:val="clear" w:color="auto" w:fill="auto"/>
          </w:tcPr>
          <w:p w:rsidR="00E90AFD" w:rsidRPr="00253681" w:rsidRDefault="00253681" w:rsidP="00253681">
            <w:pPr>
              <w:pStyle w:val="Corpsdetexte"/>
              <w:rPr>
                <w:lang w:val="fr-FR"/>
              </w:rPr>
            </w:pPr>
            <w:r w:rsidRPr="00253681">
              <w:rPr>
                <w:lang w:val="fr-FR"/>
              </w:rPr>
              <w:t>CENAFFIF, 6</w:t>
            </w:r>
            <w:r w:rsidR="00802817" w:rsidRPr="00253681">
              <w:rPr>
                <w:lang w:val="fr-FR"/>
              </w:rPr>
              <w:t>, rue</w:t>
            </w:r>
            <w:r w:rsidRPr="00253681">
              <w:rPr>
                <w:lang w:val="fr-FR"/>
              </w:rPr>
              <w:t xml:space="preserve"> de France RADES, TUNISIE</w:t>
            </w:r>
          </w:p>
        </w:tc>
      </w:tr>
      <w:tr w:rsidR="00E90AFD" w:rsidTr="003E3A4C">
        <w:trPr>
          <w:trHeight w:val="397"/>
        </w:trPr>
        <w:tc>
          <w:tcPr>
            <w:tcW w:w="2552" w:type="dxa"/>
            <w:shd w:val="clear" w:color="auto" w:fill="auto"/>
          </w:tcPr>
          <w:p w:rsidR="00E90AFD" w:rsidRPr="00542C57" w:rsidRDefault="004C0BDE" w:rsidP="003E3A4C">
            <w:pPr>
              <w:pStyle w:val="Corpsdetexte"/>
              <w:rPr>
                <w:color w:val="0092BB" w:themeColor="accent1"/>
              </w:rPr>
            </w:pPr>
            <w:r>
              <w:rPr>
                <w:color w:val="0092BB" w:themeColor="accent1"/>
              </w:rPr>
              <w:t>DATE</w:t>
            </w:r>
          </w:p>
        </w:tc>
        <w:tc>
          <w:tcPr>
            <w:tcW w:w="4615" w:type="dxa"/>
            <w:shd w:val="clear" w:color="auto" w:fill="auto"/>
          </w:tcPr>
          <w:p w:rsidR="00E90AFD" w:rsidRDefault="009417F6" w:rsidP="00891D80">
            <w:pPr>
              <w:pStyle w:val="Corpsdetexte"/>
            </w:pPr>
            <w:r>
              <w:t>19</w:t>
            </w:r>
            <w:r w:rsidR="00891D80">
              <w:rPr>
                <w:vertAlign w:val="superscript"/>
              </w:rPr>
              <w:t xml:space="preserve"> </w:t>
            </w:r>
            <w:r>
              <w:t>Mar</w:t>
            </w:r>
            <w:r w:rsidR="00891D80">
              <w:t>s</w:t>
            </w:r>
            <w:r>
              <w:t xml:space="preserve"> 2019</w:t>
            </w:r>
          </w:p>
        </w:tc>
      </w:tr>
      <w:tr w:rsidR="00E90AFD" w:rsidTr="003E3A4C">
        <w:trPr>
          <w:trHeight w:val="397"/>
        </w:trPr>
        <w:tc>
          <w:tcPr>
            <w:tcW w:w="2552" w:type="dxa"/>
            <w:shd w:val="clear" w:color="auto" w:fill="auto"/>
          </w:tcPr>
          <w:p w:rsidR="00E90AFD" w:rsidRPr="00542C57" w:rsidRDefault="00E90AFD" w:rsidP="00E90AFD">
            <w:pPr>
              <w:pStyle w:val="Corpsdetexte"/>
              <w:rPr>
                <w:color w:val="0092BB" w:themeColor="accent1"/>
              </w:rPr>
            </w:pPr>
          </w:p>
        </w:tc>
        <w:tc>
          <w:tcPr>
            <w:tcW w:w="4615" w:type="dxa"/>
            <w:shd w:val="clear" w:color="auto" w:fill="auto"/>
          </w:tcPr>
          <w:p w:rsidR="00E90AFD" w:rsidRDefault="00E90AFD" w:rsidP="00E90AFD">
            <w:pPr>
              <w:pStyle w:val="Corpsdetexte"/>
            </w:pPr>
          </w:p>
        </w:tc>
      </w:tr>
    </w:tbl>
    <w:p w:rsidR="00DB5D6E" w:rsidRDefault="00DB5D6E" w:rsidP="00DB5D6E">
      <w:pPr>
        <w:pStyle w:val="Corpsdetexte"/>
      </w:pPr>
    </w:p>
    <w:p w:rsidR="0077204E" w:rsidRDefault="0077204E" w:rsidP="00040787">
      <w:pPr>
        <w:pStyle w:val="Titre3"/>
      </w:pPr>
    </w:p>
    <w:p w:rsidR="008F589A" w:rsidRPr="008F589A" w:rsidRDefault="008F589A" w:rsidP="00040787">
      <w:pPr>
        <w:pStyle w:val="Corpsdetexte"/>
        <w:rPr>
          <w:b/>
          <w:color w:val="66BED6" w:themeColor="accent2"/>
          <w:sz w:val="2"/>
          <w:szCs w:val="2"/>
        </w:rPr>
      </w:pPr>
    </w:p>
    <w:p w:rsidR="00D448F6" w:rsidRPr="008F589A" w:rsidRDefault="00FB1CB0" w:rsidP="00040787">
      <w:pPr>
        <w:pStyle w:val="Corpsdetexte"/>
        <w:rPr>
          <w:b/>
          <w:color w:val="66BED6" w:themeColor="accent2"/>
          <w:sz w:val="28"/>
          <w:szCs w:val="28"/>
          <w:lang w:val="fr-FR"/>
        </w:rPr>
      </w:pPr>
      <w:r>
        <w:rPr>
          <w:b/>
          <w:color w:val="66BED6" w:themeColor="accent2"/>
          <w:sz w:val="28"/>
          <w:szCs w:val="28"/>
        </w:rPr>
        <w:t>RESUME</w:t>
      </w:r>
    </w:p>
    <w:p w:rsidR="003E3A4C" w:rsidRPr="008F589A" w:rsidRDefault="003E3A4C" w:rsidP="008F589A">
      <w:pPr>
        <w:jc w:val="both"/>
        <w:rPr>
          <w:rFonts w:eastAsia="Times New Roman"/>
          <w:sz w:val="22"/>
          <w:szCs w:val="22"/>
          <w:lang w:val="fr-FR" w:eastAsia="ru-RU"/>
        </w:rPr>
      </w:pPr>
      <w:r w:rsidRPr="008F589A">
        <w:rPr>
          <w:rFonts w:eastAsia="Times New Roman"/>
          <w:sz w:val="22"/>
          <w:szCs w:val="22"/>
          <w:lang w:val="fr-FR" w:eastAsia="ru-RU"/>
        </w:rPr>
        <w:t>L’objectif de ce  Workshop est de discuter les  conclusions d’une nouvelle recherche menée par l’ETF en partenariat avec le Ministère de la Formation Professionnelle et de l’Emploi. Cette recherche a invité des formateurs tunisiens et des directeurs de centres de formation à partager leurs points de vue sur leur travail. La recherche s’appuie sur les points de vue de 386 formateurs et de 117 directeurs de centres de formation travaillant dans 179 centres de formation en Tunisie, sur des entretiens avec 9 parties prenantes et sur une revue de la littérature en lien direct avec le sujet. Le rapport de recherche passe en revue l’état d’avancement des politiques et des dispositions prises en matière de la formation professionnelle continue pour les formateurs professionnels en Tunisie. La recherche offre un aperçu sur les modes d’enseignement, la direction d’école, les liens avec les entreprises et la satisfaction des formateurs.</w:t>
      </w:r>
    </w:p>
    <w:p w:rsidR="003E3A4C" w:rsidRPr="008F589A" w:rsidRDefault="003E3A4C" w:rsidP="008F589A">
      <w:pPr>
        <w:jc w:val="both"/>
        <w:rPr>
          <w:rFonts w:eastAsia="Times New Roman"/>
          <w:sz w:val="22"/>
          <w:szCs w:val="22"/>
          <w:lang w:val="fr-FR" w:eastAsia="ru-RU"/>
        </w:rPr>
      </w:pPr>
      <w:r w:rsidRPr="008F589A">
        <w:rPr>
          <w:rFonts w:eastAsia="Times New Roman"/>
          <w:sz w:val="22"/>
          <w:szCs w:val="22"/>
          <w:lang w:val="fr-FR" w:eastAsia="ru-RU"/>
        </w:rPr>
        <w:t>Le rapport fournit des conclusions et des recommandations pour soutenir la mise en œuvre d’une politique adéquate en matière de gouvernance du système de la formation professionnelle. L'atelier évaluera de manière critique les recommandations et construira un accord sur les perspectives et les voies à suivre.</w:t>
      </w:r>
    </w:p>
    <w:p w:rsidR="003E3A4C" w:rsidRPr="008F589A" w:rsidRDefault="003E3A4C" w:rsidP="008F589A">
      <w:pPr>
        <w:jc w:val="both"/>
        <w:rPr>
          <w:rFonts w:eastAsia="Times New Roman"/>
          <w:sz w:val="22"/>
          <w:szCs w:val="22"/>
          <w:lang w:val="fr-FR" w:eastAsia="ru-RU"/>
        </w:rPr>
      </w:pPr>
      <w:r w:rsidRPr="008F589A">
        <w:rPr>
          <w:rFonts w:eastAsia="Times New Roman"/>
          <w:sz w:val="22"/>
          <w:szCs w:val="22"/>
          <w:lang w:val="fr-FR" w:eastAsia="ru-RU"/>
        </w:rPr>
        <w:t>Cet atelier constituera une occasion d’aider à définir l’action actuelle visant à soutenir le développement de la formation professionnelle continue pour les formateurs professionnels au cours des deux prochaines années.</w:t>
      </w:r>
    </w:p>
    <w:p w:rsidR="003E3A4C" w:rsidRPr="008F589A" w:rsidRDefault="003E3A4C" w:rsidP="008F589A">
      <w:pPr>
        <w:jc w:val="both"/>
        <w:rPr>
          <w:rFonts w:eastAsia="Times New Roman"/>
          <w:sz w:val="22"/>
          <w:szCs w:val="22"/>
          <w:lang w:val="fr-FR" w:eastAsia="ru-RU"/>
        </w:rPr>
      </w:pPr>
      <w:r w:rsidRPr="008F589A">
        <w:rPr>
          <w:rFonts w:eastAsia="Times New Roman"/>
          <w:sz w:val="22"/>
          <w:szCs w:val="22"/>
          <w:lang w:val="fr-FR" w:eastAsia="ru-RU"/>
        </w:rPr>
        <w:t>L'atelier intéressera les décideurs et les praticiens (des secteurs public et privé) concernés par les formateurs de la formation professionnelle et l'enseignement en Tunisie.</w:t>
      </w:r>
    </w:p>
    <w:p w:rsidR="003756EE" w:rsidRPr="008F589A" w:rsidRDefault="003E3A4C" w:rsidP="008F589A">
      <w:pPr>
        <w:pStyle w:val="Corpsdetexte"/>
        <w:jc w:val="both"/>
        <w:rPr>
          <w:rFonts w:eastAsia="Times New Roman"/>
          <w:color w:val="auto"/>
          <w:sz w:val="22"/>
          <w:szCs w:val="22"/>
          <w:lang w:val="fr-FR" w:eastAsia="ru-RU"/>
        </w:rPr>
      </w:pPr>
      <w:r w:rsidRPr="008F589A">
        <w:rPr>
          <w:rFonts w:eastAsia="Times New Roman"/>
          <w:color w:val="auto"/>
          <w:sz w:val="22"/>
          <w:szCs w:val="22"/>
          <w:lang w:val="fr-FR" w:eastAsia="ru-RU"/>
        </w:rPr>
        <w:t>L'atelier se déroulera en français et en anglais.</w:t>
      </w:r>
    </w:p>
    <w:p w:rsidR="00D448F6" w:rsidRPr="003E3A4C" w:rsidRDefault="00D448F6" w:rsidP="00040787">
      <w:pPr>
        <w:pStyle w:val="Corpsdetexte"/>
        <w:rPr>
          <w:b/>
          <w:color w:val="66BED6" w:themeColor="accent2"/>
          <w:sz w:val="28"/>
          <w:szCs w:val="28"/>
          <w:lang w:val="fr-FR"/>
        </w:rPr>
      </w:pPr>
    </w:p>
    <w:p w:rsidR="00CA1074" w:rsidRDefault="00D47AD5" w:rsidP="00D47AD5">
      <w:pPr>
        <w:pStyle w:val="Corpsdetexte"/>
        <w:rPr>
          <w:b/>
          <w:color w:val="66BED6" w:themeColor="accent2"/>
          <w:sz w:val="28"/>
          <w:szCs w:val="28"/>
          <w:lang w:val="fr-FR"/>
        </w:rPr>
      </w:pPr>
      <w:r w:rsidRPr="00D47AD5">
        <w:rPr>
          <w:b/>
          <w:color w:val="66BED6" w:themeColor="accent2"/>
          <w:sz w:val="28"/>
          <w:szCs w:val="28"/>
          <w:lang w:val="fr-FR"/>
        </w:rPr>
        <w:t xml:space="preserve">Mardi 19 mars </w:t>
      </w:r>
      <w:r w:rsidR="0059632F" w:rsidRPr="00D47AD5">
        <w:rPr>
          <w:b/>
          <w:color w:val="66BED6" w:themeColor="accent2"/>
          <w:sz w:val="28"/>
          <w:szCs w:val="28"/>
          <w:lang w:val="fr-FR"/>
        </w:rPr>
        <w:t>2019</w:t>
      </w:r>
    </w:p>
    <w:p w:rsidR="005F73EE" w:rsidRPr="00D47AD5" w:rsidRDefault="005F73EE" w:rsidP="00D47AD5">
      <w:pPr>
        <w:pStyle w:val="Corpsdetexte"/>
        <w:rPr>
          <w:b/>
          <w:color w:val="66BED6" w:themeColor="accent2"/>
          <w:sz w:val="28"/>
          <w:szCs w:val="28"/>
          <w:lang w:val="fr-FR"/>
        </w:rPr>
      </w:pPr>
    </w:p>
    <w:tbl>
      <w:tblPr>
        <w:tblStyle w:val="Grilledutableau"/>
        <w:tblW w:w="0" w:type="auto"/>
        <w:tblBorders>
          <w:top w:val="none" w:sz="0" w:space="0" w:color="auto"/>
          <w:left w:val="none" w:sz="0" w:space="0" w:color="auto"/>
          <w:right w:val="none" w:sz="0" w:space="0" w:color="auto"/>
        </w:tblBorders>
        <w:tblLook w:val="04A0"/>
      </w:tblPr>
      <w:tblGrid>
        <w:gridCol w:w="1913"/>
        <w:gridCol w:w="7159"/>
      </w:tblGrid>
      <w:tr w:rsidR="004204FE" w:rsidTr="00A131EC">
        <w:tc>
          <w:tcPr>
            <w:tcW w:w="1913" w:type="dxa"/>
            <w:vAlign w:val="center"/>
          </w:tcPr>
          <w:p w:rsidR="004204FE" w:rsidRPr="00351D9C" w:rsidRDefault="004204FE" w:rsidP="00A131EC">
            <w:pPr>
              <w:pStyle w:val="ETFBodyText"/>
              <w:rPr>
                <w:rFonts w:cs="Arial"/>
                <w:sz w:val="22"/>
                <w:szCs w:val="22"/>
              </w:rPr>
            </w:pPr>
          </w:p>
          <w:p w:rsidR="004204FE" w:rsidRPr="00351D9C" w:rsidRDefault="004204FE" w:rsidP="00A131EC">
            <w:pPr>
              <w:pStyle w:val="ETFBodyText"/>
              <w:rPr>
                <w:rFonts w:cs="Arial"/>
                <w:sz w:val="22"/>
                <w:szCs w:val="22"/>
              </w:rPr>
            </w:pPr>
            <w:r w:rsidRPr="00351D9C">
              <w:rPr>
                <w:rFonts w:cs="Arial"/>
                <w:sz w:val="22"/>
                <w:szCs w:val="22"/>
              </w:rPr>
              <w:t>8.30 - 9.00</w:t>
            </w:r>
          </w:p>
        </w:tc>
        <w:tc>
          <w:tcPr>
            <w:tcW w:w="7159" w:type="dxa"/>
            <w:vAlign w:val="center"/>
          </w:tcPr>
          <w:p w:rsidR="004204FE" w:rsidRPr="00351D9C" w:rsidRDefault="004204FE" w:rsidP="009F1F97">
            <w:pPr>
              <w:pStyle w:val="ETFBulletlevel1"/>
              <w:numPr>
                <w:ilvl w:val="0"/>
                <w:numId w:val="0"/>
              </w:numPr>
              <w:rPr>
                <w:rFonts w:cs="Arial"/>
                <w:sz w:val="22"/>
                <w:szCs w:val="22"/>
              </w:rPr>
            </w:pPr>
          </w:p>
          <w:p w:rsidR="004204FE" w:rsidRPr="00351D9C" w:rsidRDefault="004204FE" w:rsidP="009F1F97">
            <w:pPr>
              <w:pStyle w:val="ETFBulletlevel1"/>
              <w:numPr>
                <w:ilvl w:val="0"/>
                <w:numId w:val="0"/>
              </w:numPr>
              <w:rPr>
                <w:rFonts w:cs="Arial"/>
                <w:sz w:val="22"/>
                <w:szCs w:val="22"/>
              </w:rPr>
            </w:pPr>
            <w:r w:rsidRPr="00D47AD5">
              <w:rPr>
                <w:rFonts w:cs="Arial"/>
                <w:sz w:val="22"/>
                <w:szCs w:val="22"/>
                <w:lang w:val="fr-FR"/>
              </w:rPr>
              <w:t>Arrivée</w:t>
            </w:r>
            <w:r>
              <w:rPr>
                <w:rFonts w:cs="Arial"/>
                <w:sz w:val="22"/>
                <w:szCs w:val="22"/>
              </w:rPr>
              <w:t xml:space="preserve"> et</w:t>
            </w:r>
            <w:r w:rsidRPr="00E85FC1">
              <w:rPr>
                <w:rFonts w:cs="Arial"/>
                <w:sz w:val="22"/>
                <w:szCs w:val="22"/>
              </w:rPr>
              <w:t xml:space="preserve"> inscription</w:t>
            </w:r>
          </w:p>
        </w:tc>
      </w:tr>
      <w:tr w:rsidR="004204FE" w:rsidRPr="00165CC2" w:rsidTr="00A131EC">
        <w:tc>
          <w:tcPr>
            <w:tcW w:w="1913" w:type="dxa"/>
            <w:vAlign w:val="center"/>
          </w:tcPr>
          <w:p w:rsidR="004204FE" w:rsidRPr="00351D9C" w:rsidRDefault="004204FE" w:rsidP="00A131EC">
            <w:pPr>
              <w:pStyle w:val="ETFBodyText"/>
              <w:rPr>
                <w:rFonts w:cs="Arial"/>
                <w:sz w:val="22"/>
                <w:szCs w:val="22"/>
              </w:rPr>
            </w:pPr>
            <w:r w:rsidRPr="00351D9C">
              <w:rPr>
                <w:rFonts w:cs="Arial"/>
                <w:sz w:val="22"/>
                <w:szCs w:val="22"/>
              </w:rPr>
              <w:t>9.00 – 9.10</w:t>
            </w:r>
          </w:p>
        </w:tc>
        <w:tc>
          <w:tcPr>
            <w:tcW w:w="7159" w:type="dxa"/>
            <w:vAlign w:val="center"/>
          </w:tcPr>
          <w:p w:rsidR="004204FE" w:rsidRPr="00351D9C" w:rsidRDefault="004204FE" w:rsidP="00253681">
            <w:pPr>
              <w:pStyle w:val="ETFBulletlevel1"/>
              <w:numPr>
                <w:ilvl w:val="0"/>
                <w:numId w:val="0"/>
              </w:numPr>
              <w:rPr>
                <w:rFonts w:cs="Arial"/>
                <w:sz w:val="22"/>
                <w:szCs w:val="22"/>
                <w:lang w:val="fr-FR"/>
              </w:rPr>
            </w:pPr>
            <w:r w:rsidRPr="00841B84">
              <w:rPr>
                <w:rFonts w:cs="Arial"/>
                <w:sz w:val="22"/>
                <w:szCs w:val="22"/>
                <w:lang w:val="fr-FR"/>
              </w:rPr>
              <w:t>Introduction et bienvenue: </w:t>
            </w:r>
            <w:r w:rsidR="00253681" w:rsidRPr="00253681">
              <w:rPr>
                <w:rFonts w:cs="Arial"/>
                <w:sz w:val="22"/>
                <w:szCs w:val="22"/>
                <w:lang w:val="fr-FR"/>
              </w:rPr>
              <w:t>M.</w:t>
            </w:r>
            <w:r w:rsidR="00253681" w:rsidRPr="00253681">
              <w:rPr>
                <w:rFonts w:cs="Arial"/>
                <w:b/>
                <w:bCs/>
                <w:sz w:val="22"/>
                <w:szCs w:val="22"/>
                <w:lang w:val="fr-FR"/>
              </w:rPr>
              <w:t xml:space="preserve"> Mounir Dakhli</w:t>
            </w:r>
            <w:r w:rsidR="00253681">
              <w:rPr>
                <w:rFonts w:cs="Arial"/>
                <w:sz w:val="22"/>
                <w:szCs w:val="22"/>
                <w:lang w:val="fr-FR"/>
              </w:rPr>
              <w:t xml:space="preserve">, </w:t>
            </w:r>
            <w:r w:rsidR="00253681" w:rsidRPr="00253681">
              <w:rPr>
                <w:rFonts w:cs="Arial"/>
                <w:sz w:val="22"/>
                <w:szCs w:val="22"/>
                <w:lang w:val="fr-FR"/>
              </w:rPr>
              <w:t>Directeur de la Coopération Internationale</w:t>
            </w:r>
            <w:r w:rsidR="00253681">
              <w:rPr>
                <w:rFonts w:cs="Arial"/>
                <w:sz w:val="22"/>
                <w:szCs w:val="22"/>
                <w:lang w:val="fr-FR"/>
              </w:rPr>
              <w:t xml:space="preserve">, </w:t>
            </w:r>
            <w:r w:rsidRPr="00841B84">
              <w:rPr>
                <w:rFonts w:cs="Arial"/>
                <w:sz w:val="22"/>
                <w:szCs w:val="22"/>
                <w:lang w:val="fr-FR"/>
              </w:rPr>
              <w:t xml:space="preserve"> Ministère de la Formation Professionnelle et de l’Emploi</w:t>
            </w:r>
          </w:p>
        </w:tc>
      </w:tr>
      <w:tr w:rsidR="004204FE" w:rsidRPr="00165CC2" w:rsidTr="00D72741">
        <w:trPr>
          <w:trHeight w:val="646"/>
        </w:trPr>
        <w:tc>
          <w:tcPr>
            <w:tcW w:w="1913" w:type="dxa"/>
            <w:vAlign w:val="center"/>
          </w:tcPr>
          <w:p w:rsidR="004204FE" w:rsidRPr="00253681" w:rsidRDefault="004204FE" w:rsidP="00D72741">
            <w:pPr>
              <w:pStyle w:val="ETFBodyText"/>
              <w:ind w:left="0"/>
              <w:rPr>
                <w:rFonts w:cs="Arial"/>
                <w:sz w:val="22"/>
                <w:szCs w:val="22"/>
                <w:lang w:val="fr-FR"/>
              </w:rPr>
            </w:pPr>
            <w:r w:rsidRPr="00253681">
              <w:rPr>
                <w:rFonts w:cs="Arial"/>
                <w:sz w:val="22"/>
                <w:szCs w:val="22"/>
                <w:lang w:val="fr-FR"/>
              </w:rPr>
              <w:t>9.10 – 9:30</w:t>
            </w:r>
          </w:p>
        </w:tc>
        <w:tc>
          <w:tcPr>
            <w:tcW w:w="7159" w:type="dxa"/>
            <w:vAlign w:val="center"/>
          </w:tcPr>
          <w:p w:rsidR="004204FE" w:rsidRPr="00E85FC1" w:rsidRDefault="004204FE" w:rsidP="009F1F97">
            <w:pPr>
              <w:pStyle w:val="ETFBulletlevel1"/>
              <w:numPr>
                <w:ilvl w:val="0"/>
                <w:numId w:val="0"/>
              </w:numPr>
              <w:rPr>
                <w:rFonts w:cs="Arial"/>
                <w:sz w:val="22"/>
                <w:szCs w:val="22"/>
                <w:lang w:val="fr-FR"/>
              </w:rPr>
            </w:pPr>
            <w:r w:rsidRPr="00E85FC1">
              <w:rPr>
                <w:rFonts w:cs="Arial"/>
                <w:sz w:val="22"/>
                <w:szCs w:val="22"/>
                <w:lang w:val="fr-FR"/>
              </w:rPr>
              <w:t xml:space="preserve">Contexte de la recherche: </w:t>
            </w:r>
            <w:r w:rsidRPr="00106524">
              <w:rPr>
                <w:rFonts w:cs="Arial"/>
                <w:b/>
                <w:bCs/>
                <w:sz w:val="22"/>
                <w:szCs w:val="22"/>
                <w:lang w:val="fr-FR"/>
              </w:rPr>
              <w:t>Julian Stanley</w:t>
            </w:r>
            <w:r w:rsidRPr="00E85FC1">
              <w:rPr>
                <w:rFonts w:cs="Arial"/>
                <w:sz w:val="22"/>
                <w:szCs w:val="22"/>
                <w:lang w:val="fr-FR"/>
              </w:rPr>
              <w:t>, ETF</w:t>
            </w:r>
          </w:p>
        </w:tc>
      </w:tr>
      <w:tr w:rsidR="004204FE" w:rsidRPr="00165CC2" w:rsidTr="00A131EC">
        <w:tc>
          <w:tcPr>
            <w:tcW w:w="1913" w:type="dxa"/>
            <w:vAlign w:val="center"/>
          </w:tcPr>
          <w:p w:rsidR="004204FE" w:rsidRPr="00253681" w:rsidRDefault="004204FE">
            <w:pPr>
              <w:pStyle w:val="ETFBodyText"/>
              <w:rPr>
                <w:rFonts w:cs="Arial"/>
                <w:sz w:val="22"/>
                <w:szCs w:val="22"/>
                <w:lang w:val="fr-FR"/>
              </w:rPr>
            </w:pPr>
            <w:r w:rsidRPr="00253681">
              <w:rPr>
                <w:rFonts w:cs="Arial"/>
                <w:sz w:val="22"/>
                <w:szCs w:val="22"/>
                <w:lang w:val="fr-FR"/>
              </w:rPr>
              <w:t>9:30 – 10.30</w:t>
            </w:r>
          </w:p>
        </w:tc>
        <w:tc>
          <w:tcPr>
            <w:tcW w:w="7159" w:type="dxa"/>
            <w:vAlign w:val="center"/>
          </w:tcPr>
          <w:p w:rsidR="004204FE" w:rsidRPr="00253681" w:rsidRDefault="004204FE" w:rsidP="009F1F97">
            <w:pPr>
              <w:rPr>
                <w:rFonts w:eastAsia="Times New Roman"/>
                <w:sz w:val="22"/>
                <w:szCs w:val="22"/>
                <w:lang w:val="fr-FR" w:eastAsia="ru-RU"/>
              </w:rPr>
            </w:pPr>
            <w:r w:rsidRPr="00253681">
              <w:rPr>
                <w:rFonts w:eastAsia="Times New Roman"/>
                <w:sz w:val="22"/>
                <w:szCs w:val="22"/>
                <w:lang w:val="fr-FR" w:eastAsia="ru-RU"/>
              </w:rPr>
              <w:t xml:space="preserve">Principales conclusions du rapport: Professeur </w:t>
            </w:r>
            <w:r w:rsidRPr="00253681">
              <w:rPr>
                <w:rFonts w:eastAsia="Times New Roman"/>
                <w:b/>
                <w:bCs/>
                <w:sz w:val="22"/>
                <w:szCs w:val="22"/>
                <w:lang w:val="fr-FR" w:eastAsia="ru-RU"/>
              </w:rPr>
              <w:t>Lotfi Belkacem</w:t>
            </w:r>
            <w:r w:rsidRPr="00253681">
              <w:rPr>
                <w:rFonts w:eastAsia="Times New Roman"/>
                <w:sz w:val="22"/>
                <w:szCs w:val="22"/>
                <w:lang w:val="fr-FR" w:eastAsia="ru-RU"/>
              </w:rPr>
              <w:t>, Expert National de ETF et Vice-président de l'Université de Sousse</w:t>
            </w:r>
          </w:p>
          <w:p w:rsidR="004204FE" w:rsidRPr="000838CE" w:rsidRDefault="004204FE" w:rsidP="009F1F97">
            <w:pPr>
              <w:pStyle w:val="ETFBulletlevel1"/>
              <w:numPr>
                <w:ilvl w:val="0"/>
                <w:numId w:val="0"/>
              </w:numPr>
              <w:rPr>
                <w:rFonts w:cs="Arial"/>
                <w:sz w:val="22"/>
                <w:szCs w:val="22"/>
                <w:lang w:val="fr-FR"/>
              </w:rPr>
            </w:pPr>
            <w:r w:rsidRPr="000838CE">
              <w:rPr>
                <w:rFonts w:cs="Arial"/>
                <w:sz w:val="22"/>
                <w:szCs w:val="22"/>
                <w:lang w:val="fr-FR"/>
              </w:rPr>
              <w:t>– suivi par des questions</w:t>
            </w:r>
          </w:p>
          <w:p w:rsidR="004204FE" w:rsidRPr="000838CE" w:rsidRDefault="004204FE" w:rsidP="009F1F97">
            <w:pPr>
              <w:pStyle w:val="ETFBulletlevel1"/>
              <w:numPr>
                <w:ilvl w:val="0"/>
                <w:numId w:val="0"/>
              </w:numPr>
              <w:rPr>
                <w:sz w:val="22"/>
                <w:szCs w:val="22"/>
                <w:lang w:val="fr-FR"/>
              </w:rPr>
            </w:pPr>
            <w:r w:rsidRPr="000838CE">
              <w:rPr>
                <w:sz w:val="22"/>
                <w:szCs w:val="22"/>
                <w:lang w:val="fr-FR"/>
              </w:rPr>
              <w:t xml:space="preserve">Président: </w:t>
            </w:r>
            <w:r w:rsidRPr="00253681">
              <w:rPr>
                <w:b/>
                <w:bCs/>
                <w:sz w:val="22"/>
                <w:szCs w:val="22"/>
                <w:lang w:val="fr-FR"/>
              </w:rPr>
              <w:t>Julian Stanley</w:t>
            </w:r>
            <w:r w:rsidRPr="000838CE">
              <w:rPr>
                <w:sz w:val="22"/>
                <w:szCs w:val="22"/>
                <w:lang w:val="fr-FR"/>
              </w:rPr>
              <w:t xml:space="preserve">, </w:t>
            </w:r>
            <w:r w:rsidRPr="000838CE">
              <w:rPr>
                <w:rFonts w:cs="Arial"/>
                <w:sz w:val="22"/>
                <w:szCs w:val="22"/>
                <w:lang w:val="fr-FR"/>
              </w:rPr>
              <w:t>ETF</w:t>
            </w:r>
          </w:p>
        </w:tc>
      </w:tr>
      <w:tr w:rsidR="004204FE" w:rsidTr="00A131EC">
        <w:tc>
          <w:tcPr>
            <w:tcW w:w="1913" w:type="dxa"/>
            <w:vAlign w:val="center"/>
          </w:tcPr>
          <w:p w:rsidR="004204FE" w:rsidRPr="00351D9C" w:rsidRDefault="004204FE" w:rsidP="00DD3867">
            <w:pPr>
              <w:pStyle w:val="ETFBodyText"/>
              <w:ind w:left="0"/>
              <w:rPr>
                <w:rFonts w:cs="Arial"/>
                <w:sz w:val="22"/>
                <w:szCs w:val="22"/>
              </w:rPr>
            </w:pPr>
            <w:r w:rsidRPr="00351D9C">
              <w:rPr>
                <w:rFonts w:cs="Arial"/>
                <w:sz w:val="22"/>
                <w:szCs w:val="22"/>
              </w:rPr>
              <w:t xml:space="preserve">10.30 -10.50 </w:t>
            </w:r>
          </w:p>
        </w:tc>
        <w:tc>
          <w:tcPr>
            <w:tcW w:w="7159" w:type="dxa"/>
            <w:vAlign w:val="center"/>
          </w:tcPr>
          <w:p w:rsidR="004204FE" w:rsidRPr="00351D9C" w:rsidRDefault="004204FE" w:rsidP="009F1F97">
            <w:pPr>
              <w:pStyle w:val="ETFBulletlevel1"/>
              <w:numPr>
                <w:ilvl w:val="0"/>
                <w:numId w:val="0"/>
              </w:numPr>
              <w:rPr>
                <w:rFonts w:cs="Arial"/>
                <w:sz w:val="22"/>
                <w:szCs w:val="22"/>
              </w:rPr>
            </w:pPr>
            <w:r w:rsidRPr="000838CE">
              <w:rPr>
                <w:sz w:val="22"/>
                <w:szCs w:val="22"/>
              </w:rPr>
              <w:t>Pause</w:t>
            </w:r>
            <w:r>
              <w:rPr>
                <w:sz w:val="22"/>
                <w:szCs w:val="22"/>
              </w:rPr>
              <w:t xml:space="preserve"> café</w:t>
            </w:r>
          </w:p>
        </w:tc>
      </w:tr>
      <w:tr w:rsidR="004204FE" w:rsidTr="00A131EC">
        <w:tc>
          <w:tcPr>
            <w:tcW w:w="1913" w:type="dxa"/>
            <w:vAlign w:val="center"/>
          </w:tcPr>
          <w:p w:rsidR="004204FE" w:rsidRPr="00351D9C" w:rsidRDefault="004204FE" w:rsidP="00A131EC">
            <w:pPr>
              <w:pStyle w:val="ETFBodyText"/>
              <w:rPr>
                <w:rFonts w:cs="Arial"/>
                <w:sz w:val="22"/>
                <w:szCs w:val="22"/>
              </w:rPr>
            </w:pPr>
          </w:p>
          <w:p w:rsidR="004204FE" w:rsidRPr="00351D9C" w:rsidRDefault="004204FE" w:rsidP="00A131EC">
            <w:pPr>
              <w:pStyle w:val="ETFBodyText"/>
              <w:rPr>
                <w:rFonts w:cs="Arial"/>
                <w:sz w:val="22"/>
                <w:szCs w:val="22"/>
              </w:rPr>
            </w:pPr>
            <w:r w:rsidRPr="00351D9C">
              <w:rPr>
                <w:rFonts w:cs="Arial"/>
                <w:sz w:val="22"/>
                <w:szCs w:val="22"/>
              </w:rPr>
              <w:t>10.50 – 12.00</w:t>
            </w:r>
          </w:p>
        </w:tc>
        <w:tc>
          <w:tcPr>
            <w:tcW w:w="7159" w:type="dxa"/>
            <w:vAlign w:val="center"/>
          </w:tcPr>
          <w:p w:rsidR="004204FE" w:rsidRDefault="004204FE" w:rsidP="009F1F97">
            <w:pPr>
              <w:pStyle w:val="ETFBulletlevel1"/>
              <w:numPr>
                <w:ilvl w:val="0"/>
                <w:numId w:val="0"/>
              </w:numPr>
              <w:rPr>
                <w:rFonts w:cs="Arial"/>
                <w:sz w:val="22"/>
                <w:szCs w:val="22"/>
                <w:lang w:val="fr-FR"/>
              </w:rPr>
            </w:pPr>
            <w:r>
              <w:rPr>
                <w:rFonts w:cs="Arial"/>
                <w:sz w:val="22"/>
                <w:szCs w:val="22"/>
                <w:lang w:val="fr-FR"/>
              </w:rPr>
              <w:t xml:space="preserve">Discussion des </w:t>
            </w:r>
            <w:r w:rsidR="00670FD1" w:rsidRPr="00670FD1">
              <w:rPr>
                <w:rFonts w:cs="Arial"/>
                <w:sz w:val="22"/>
                <w:szCs w:val="22"/>
                <w:lang w:val="fr-FR"/>
              </w:rPr>
              <w:t>principaux problèmes</w:t>
            </w:r>
            <w:r w:rsidRPr="000838CE">
              <w:rPr>
                <w:rFonts w:cs="Arial"/>
                <w:sz w:val="22"/>
                <w:szCs w:val="22"/>
                <w:lang w:val="fr-FR"/>
              </w:rPr>
              <w:t xml:space="preserve"> et </w:t>
            </w:r>
            <w:r>
              <w:rPr>
                <w:rFonts w:cs="Arial"/>
                <w:sz w:val="22"/>
                <w:szCs w:val="22"/>
                <w:lang w:val="fr-FR"/>
              </w:rPr>
              <w:t xml:space="preserve">des </w:t>
            </w:r>
            <w:r w:rsidRPr="000838CE">
              <w:rPr>
                <w:rFonts w:cs="Arial"/>
                <w:sz w:val="22"/>
                <w:szCs w:val="22"/>
                <w:lang w:val="fr-FR"/>
              </w:rPr>
              <w:t xml:space="preserve">recommandations </w:t>
            </w:r>
          </w:p>
          <w:p w:rsidR="004204FE" w:rsidRPr="00670FD1" w:rsidRDefault="004204FE" w:rsidP="00670FD1">
            <w:pPr>
              <w:pStyle w:val="ETFBulletlevel1"/>
              <w:numPr>
                <w:ilvl w:val="0"/>
                <w:numId w:val="0"/>
              </w:numPr>
              <w:ind w:right="-75"/>
              <w:rPr>
                <w:rFonts w:cs="Arial"/>
                <w:b/>
                <w:bCs/>
                <w:sz w:val="22"/>
                <w:szCs w:val="22"/>
                <w:lang w:val="fr-FR"/>
              </w:rPr>
            </w:pPr>
            <w:r w:rsidRPr="00D47AD5">
              <w:rPr>
                <w:rFonts w:cs="Arial"/>
                <w:sz w:val="22"/>
                <w:szCs w:val="22"/>
                <w:lang w:val="fr-FR"/>
              </w:rPr>
              <w:t>Animateur</w:t>
            </w:r>
            <w:r w:rsidR="00670FD1">
              <w:rPr>
                <w:rFonts w:cs="Arial"/>
                <w:sz w:val="22"/>
                <w:szCs w:val="22"/>
                <w:lang w:val="fr-FR"/>
              </w:rPr>
              <w:t>s des groupes</w:t>
            </w:r>
            <w:r w:rsidRPr="00D47AD5">
              <w:rPr>
                <w:rFonts w:cs="Arial"/>
                <w:sz w:val="22"/>
                <w:szCs w:val="22"/>
                <w:lang w:val="fr-FR"/>
              </w:rPr>
              <w:t>:</w:t>
            </w:r>
            <w:r w:rsidR="00D47AD5" w:rsidRPr="00670FD1">
              <w:rPr>
                <w:rFonts w:cs="Arial"/>
                <w:sz w:val="22"/>
                <w:szCs w:val="22"/>
                <w:lang w:val="fr-FR"/>
              </w:rPr>
              <w:t xml:space="preserve"> </w:t>
            </w:r>
            <w:r w:rsidRPr="00670FD1">
              <w:rPr>
                <w:rFonts w:cs="Arial"/>
                <w:sz w:val="22"/>
                <w:szCs w:val="22"/>
                <w:lang w:val="fr-FR"/>
              </w:rPr>
              <w:t xml:space="preserve">Prof </w:t>
            </w:r>
            <w:r w:rsidRPr="00670FD1">
              <w:rPr>
                <w:rFonts w:cs="Arial"/>
                <w:b/>
                <w:bCs/>
                <w:sz w:val="22"/>
                <w:szCs w:val="22"/>
                <w:lang w:val="fr-FR"/>
              </w:rPr>
              <w:t>Lotfi Belkacem</w:t>
            </w:r>
            <w:r w:rsidRPr="00670FD1">
              <w:rPr>
                <w:rFonts w:cs="Arial"/>
                <w:sz w:val="22"/>
                <w:szCs w:val="22"/>
                <w:lang w:val="fr-FR"/>
              </w:rPr>
              <w:t xml:space="preserve"> </w:t>
            </w:r>
            <w:r w:rsidR="00670FD1">
              <w:rPr>
                <w:rFonts w:cs="Arial"/>
                <w:sz w:val="22"/>
                <w:szCs w:val="22"/>
                <w:lang w:val="fr-FR"/>
              </w:rPr>
              <w:t xml:space="preserve">and M. </w:t>
            </w:r>
            <w:r w:rsidR="00670FD1" w:rsidRPr="00670FD1">
              <w:rPr>
                <w:rFonts w:cs="Arial"/>
                <w:b/>
                <w:bCs/>
                <w:sz w:val="22"/>
                <w:szCs w:val="22"/>
                <w:lang w:val="fr-FR"/>
              </w:rPr>
              <w:t>Thierry Fouber</w:t>
            </w:r>
            <w:r w:rsidR="00670FD1">
              <w:rPr>
                <w:rFonts w:cs="Arial"/>
                <w:b/>
                <w:bCs/>
                <w:sz w:val="22"/>
                <w:szCs w:val="22"/>
                <w:lang w:val="fr-FR"/>
              </w:rPr>
              <w:t>t</w:t>
            </w:r>
          </w:p>
          <w:p w:rsidR="004204FE" w:rsidRPr="00351D9C" w:rsidRDefault="004204FE" w:rsidP="009F1F97">
            <w:pPr>
              <w:pStyle w:val="ETFBulletlevel1"/>
              <w:numPr>
                <w:ilvl w:val="0"/>
                <w:numId w:val="0"/>
              </w:numPr>
              <w:rPr>
                <w:sz w:val="22"/>
                <w:szCs w:val="22"/>
              </w:rPr>
            </w:pPr>
            <w:r w:rsidRPr="000838CE">
              <w:rPr>
                <w:sz w:val="22"/>
                <w:szCs w:val="22"/>
                <w:lang w:val="fr-FR"/>
              </w:rPr>
              <w:t>Président</w:t>
            </w:r>
            <w:r w:rsidRPr="00351D9C">
              <w:rPr>
                <w:rFonts w:cs="Arial"/>
                <w:sz w:val="22"/>
                <w:szCs w:val="22"/>
              </w:rPr>
              <w:t xml:space="preserve">: </w:t>
            </w:r>
            <w:r w:rsidRPr="00253681">
              <w:rPr>
                <w:rFonts w:cs="Arial"/>
                <w:b/>
                <w:bCs/>
                <w:sz w:val="22"/>
                <w:szCs w:val="22"/>
              </w:rPr>
              <w:t>Julian Stanley</w:t>
            </w:r>
            <w:r w:rsidRPr="00351D9C">
              <w:rPr>
                <w:rFonts w:cs="Arial"/>
                <w:sz w:val="22"/>
                <w:szCs w:val="22"/>
              </w:rPr>
              <w:t>, ETF</w:t>
            </w:r>
          </w:p>
        </w:tc>
      </w:tr>
      <w:tr w:rsidR="004204FE" w:rsidTr="00A131EC">
        <w:tc>
          <w:tcPr>
            <w:tcW w:w="1913" w:type="dxa"/>
            <w:vAlign w:val="center"/>
          </w:tcPr>
          <w:p w:rsidR="004204FE" w:rsidRPr="00351D9C" w:rsidRDefault="004204FE" w:rsidP="00351D9C">
            <w:pPr>
              <w:pStyle w:val="ETFBodyText"/>
              <w:numPr>
                <w:ilvl w:val="0"/>
                <w:numId w:val="34"/>
              </w:numPr>
              <w:rPr>
                <w:rFonts w:cs="Arial"/>
                <w:sz w:val="22"/>
                <w:szCs w:val="22"/>
              </w:rPr>
            </w:pPr>
            <w:r w:rsidRPr="00351D9C">
              <w:rPr>
                <w:rFonts w:cs="Arial"/>
                <w:sz w:val="22"/>
                <w:szCs w:val="22"/>
              </w:rPr>
              <w:t>– 13. 00</w:t>
            </w:r>
          </w:p>
          <w:p w:rsidR="004204FE" w:rsidRPr="00351D9C" w:rsidRDefault="004204FE" w:rsidP="00A131EC">
            <w:pPr>
              <w:pStyle w:val="ETFBodyText"/>
              <w:rPr>
                <w:rFonts w:cs="Arial"/>
                <w:sz w:val="22"/>
                <w:szCs w:val="22"/>
              </w:rPr>
            </w:pPr>
          </w:p>
        </w:tc>
        <w:tc>
          <w:tcPr>
            <w:tcW w:w="7159" w:type="dxa"/>
            <w:vAlign w:val="center"/>
          </w:tcPr>
          <w:p w:rsidR="0028037C" w:rsidRDefault="0028037C" w:rsidP="0028037C">
            <w:pPr>
              <w:shd w:val="clear" w:color="auto" w:fill="FFFFFF"/>
              <w:jc w:val="both"/>
              <w:rPr>
                <w:sz w:val="22"/>
                <w:szCs w:val="22"/>
                <w:lang w:val="fr-FR"/>
              </w:rPr>
            </w:pPr>
            <w:r w:rsidRPr="00C64392">
              <w:rPr>
                <w:sz w:val="22"/>
                <w:szCs w:val="22"/>
                <w:lang w:val="fr-FR"/>
              </w:rPr>
              <w:t xml:space="preserve">Réponse du groupe de </w:t>
            </w:r>
            <w:r>
              <w:rPr>
                <w:sz w:val="22"/>
                <w:szCs w:val="22"/>
                <w:lang w:val="fr-FR"/>
              </w:rPr>
              <w:t xml:space="preserve">différentes </w:t>
            </w:r>
            <w:r w:rsidRPr="00C64392">
              <w:rPr>
                <w:sz w:val="22"/>
                <w:szCs w:val="22"/>
                <w:lang w:val="fr-FR"/>
              </w:rPr>
              <w:t>parties prenantes :</w:t>
            </w:r>
          </w:p>
          <w:p w:rsidR="0028037C" w:rsidRDefault="0028037C" w:rsidP="0028037C">
            <w:pPr>
              <w:shd w:val="clear" w:color="auto" w:fill="FFFFFF"/>
              <w:jc w:val="both"/>
              <w:rPr>
                <w:sz w:val="22"/>
                <w:szCs w:val="22"/>
                <w:lang w:val="fr-FR"/>
              </w:rPr>
            </w:pPr>
          </w:p>
          <w:p w:rsidR="0028037C" w:rsidRPr="001555F3" w:rsidRDefault="0028037C" w:rsidP="0028037C">
            <w:pPr>
              <w:shd w:val="clear" w:color="auto" w:fill="FFFFFF"/>
              <w:jc w:val="both"/>
              <w:rPr>
                <w:sz w:val="22"/>
                <w:szCs w:val="22"/>
                <w:lang w:val="fr-FR"/>
              </w:rPr>
            </w:pPr>
            <w:r w:rsidRPr="00C64392">
              <w:rPr>
                <w:sz w:val="22"/>
                <w:szCs w:val="22"/>
                <w:lang w:val="fr-FR"/>
              </w:rPr>
              <w:t xml:space="preserve">Ministère de la Formation Professionnelle et de l'Emploi, Agence Tunisienne de </w:t>
            </w:r>
            <w:r>
              <w:rPr>
                <w:sz w:val="22"/>
                <w:szCs w:val="22"/>
                <w:lang w:val="fr-FR"/>
              </w:rPr>
              <w:t>la Formation Professionnelle (</w:t>
            </w:r>
            <w:r w:rsidRPr="00C64392">
              <w:rPr>
                <w:sz w:val="22"/>
                <w:szCs w:val="22"/>
                <w:lang w:val="fr-FR"/>
              </w:rPr>
              <w:t>ATFP</w:t>
            </w:r>
            <w:r>
              <w:rPr>
                <w:sz w:val="22"/>
                <w:szCs w:val="22"/>
                <w:lang w:val="fr-FR"/>
              </w:rPr>
              <w:t>)</w:t>
            </w:r>
            <w:r w:rsidRPr="00C64392">
              <w:rPr>
                <w:sz w:val="22"/>
                <w:szCs w:val="22"/>
                <w:lang w:val="fr-FR"/>
              </w:rPr>
              <w:t>, Agence de la Vulgarisati</w:t>
            </w:r>
            <w:r>
              <w:rPr>
                <w:sz w:val="22"/>
                <w:szCs w:val="22"/>
                <w:lang w:val="fr-FR"/>
              </w:rPr>
              <w:t>on et de la Formation Agricole (</w:t>
            </w:r>
            <w:r w:rsidRPr="00C64392">
              <w:rPr>
                <w:sz w:val="22"/>
                <w:szCs w:val="22"/>
                <w:lang w:val="fr-FR"/>
              </w:rPr>
              <w:t>AVFA</w:t>
            </w:r>
            <w:r>
              <w:rPr>
                <w:sz w:val="22"/>
                <w:szCs w:val="22"/>
                <w:lang w:val="fr-FR"/>
              </w:rPr>
              <w:t>)</w:t>
            </w:r>
            <w:r w:rsidRPr="00C64392">
              <w:rPr>
                <w:sz w:val="22"/>
                <w:szCs w:val="22"/>
                <w:lang w:val="fr-FR"/>
              </w:rPr>
              <w:t xml:space="preserve">, Agence de formation aux </w:t>
            </w:r>
            <w:r>
              <w:rPr>
                <w:sz w:val="22"/>
                <w:szCs w:val="22"/>
                <w:lang w:val="fr-FR"/>
              </w:rPr>
              <w:t>M</w:t>
            </w:r>
            <w:r w:rsidRPr="00C64392">
              <w:rPr>
                <w:sz w:val="22"/>
                <w:szCs w:val="22"/>
                <w:lang w:val="fr-FR"/>
              </w:rPr>
              <w:t xml:space="preserve">étiers du </w:t>
            </w:r>
            <w:r>
              <w:rPr>
                <w:sz w:val="22"/>
                <w:szCs w:val="22"/>
                <w:lang w:val="fr-FR"/>
              </w:rPr>
              <w:t>T</w:t>
            </w:r>
            <w:bookmarkStart w:id="0" w:name="_GoBack"/>
            <w:bookmarkEnd w:id="0"/>
            <w:r w:rsidRPr="00C64392">
              <w:rPr>
                <w:sz w:val="22"/>
                <w:szCs w:val="22"/>
                <w:lang w:val="fr-FR"/>
              </w:rPr>
              <w:t xml:space="preserve">ourisme (AFMT), </w:t>
            </w:r>
            <w:r w:rsidRPr="001555F3">
              <w:rPr>
                <w:sz w:val="22"/>
                <w:szCs w:val="22"/>
                <w:lang w:val="fr-FR"/>
              </w:rPr>
              <w:t>Centre National de Formation de Formateurs et d'Ingénierie de Formation (CENAFFIF), Union Tunisienne de l'Industrie, du Commerce et de l'Artisanat (UTICA),Union Tunisienne de l'Agriculture et de la Pêche (UTAP),Fédération Tunisienne de l'Hôtellerie (FTH), Chambre Nationale Syndicale des Structures de Formation privée (CNSSFP).</w:t>
            </w:r>
          </w:p>
          <w:p w:rsidR="0028037C" w:rsidRDefault="0028037C" w:rsidP="009F1F97">
            <w:pPr>
              <w:pStyle w:val="ETFBulletlevel1"/>
              <w:numPr>
                <w:ilvl w:val="0"/>
                <w:numId w:val="0"/>
              </w:numPr>
              <w:rPr>
                <w:sz w:val="22"/>
                <w:szCs w:val="22"/>
                <w:lang w:val="fr-FR"/>
              </w:rPr>
            </w:pPr>
          </w:p>
          <w:p w:rsidR="004204FE" w:rsidRPr="00351D9C" w:rsidRDefault="004204FE" w:rsidP="009F1F97">
            <w:pPr>
              <w:pStyle w:val="ETFBulletlevel1"/>
              <w:numPr>
                <w:ilvl w:val="0"/>
                <w:numId w:val="0"/>
              </w:numPr>
              <w:rPr>
                <w:sz w:val="22"/>
                <w:szCs w:val="22"/>
              </w:rPr>
            </w:pPr>
            <w:r w:rsidRPr="000838CE">
              <w:rPr>
                <w:sz w:val="22"/>
                <w:szCs w:val="22"/>
                <w:lang w:val="fr-FR"/>
              </w:rPr>
              <w:t>Président</w:t>
            </w:r>
            <w:r w:rsidRPr="00351D9C">
              <w:rPr>
                <w:rFonts w:cs="Arial"/>
                <w:sz w:val="22"/>
                <w:szCs w:val="22"/>
              </w:rPr>
              <w:t xml:space="preserve">: </w:t>
            </w:r>
            <w:r w:rsidRPr="00253681">
              <w:rPr>
                <w:rFonts w:cs="Arial"/>
                <w:b/>
                <w:bCs/>
                <w:sz w:val="22"/>
                <w:szCs w:val="22"/>
              </w:rPr>
              <w:t>Julian Stanley</w:t>
            </w:r>
            <w:r w:rsidRPr="00351D9C">
              <w:rPr>
                <w:rFonts w:cs="Arial"/>
                <w:sz w:val="22"/>
                <w:szCs w:val="22"/>
              </w:rPr>
              <w:t xml:space="preserve">, </w:t>
            </w:r>
            <w:r w:rsidRPr="00351D9C">
              <w:rPr>
                <w:rFonts w:cs="Arial"/>
                <w:sz w:val="22"/>
                <w:szCs w:val="22"/>
                <w:lang w:val="it-IT"/>
              </w:rPr>
              <w:t>ETF</w:t>
            </w:r>
          </w:p>
        </w:tc>
      </w:tr>
      <w:tr w:rsidR="00A131EC" w:rsidTr="00A131EC">
        <w:tc>
          <w:tcPr>
            <w:tcW w:w="1913" w:type="dxa"/>
            <w:vAlign w:val="center"/>
          </w:tcPr>
          <w:p w:rsidR="004B5928" w:rsidRPr="00351D9C" w:rsidRDefault="00351D9C" w:rsidP="003A5402">
            <w:pPr>
              <w:pStyle w:val="ETFBodyText"/>
              <w:ind w:left="0"/>
              <w:rPr>
                <w:rFonts w:cs="Arial"/>
                <w:sz w:val="22"/>
                <w:szCs w:val="22"/>
              </w:rPr>
            </w:pPr>
            <w:r w:rsidRPr="00351D9C">
              <w:rPr>
                <w:rFonts w:cs="Arial"/>
                <w:sz w:val="22"/>
                <w:szCs w:val="22"/>
              </w:rPr>
              <w:t>13</w:t>
            </w:r>
            <w:r w:rsidR="004B5928" w:rsidRPr="00351D9C">
              <w:rPr>
                <w:rFonts w:cs="Arial"/>
                <w:sz w:val="22"/>
                <w:szCs w:val="22"/>
              </w:rPr>
              <w:t>.</w:t>
            </w:r>
            <w:r w:rsidRPr="00351D9C">
              <w:rPr>
                <w:rFonts w:cs="Arial"/>
                <w:sz w:val="22"/>
                <w:szCs w:val="22"/>
              </w:rPr>
              <w:t>0</w:t>
            </w:r>
            <w:r w:rsidR="003A5402" w:rsidRPr="00351D9C">
              <w:rPr>
                <w:rFonts w:cs="Arial"/>
                <w:sz w:val="22"/>
                <w:szCs w:val="22"/>
              </w:rPr>
              <w:t>0</w:t>
            </w:r>
            <w:r w:rsidRPr="00351D9C">
              <w:rPr>
                <w:rFonts w:cs="Arial"/>
                <w:sz w:val="22"/>
                <w:szCs w:val="22"/>
              </w:rPr>
              <w:t xml:space="preserve"> – 14</w:t>
            </w:r>
            <w:r w:rsidR="004B5928" w:rsidRPr="00351D9C">
              <w:rPr>
                <w:rFonts w:cs="Arial"/>
                <w:sz w:val="22"/>
                <w:szCs w:val="22"/>
              </w:rPr>
              <w:t>.</w:t>
            </w:r>
            <w:r w:rsidRPr="00351D9C">
              <w:rPr>
                <w:rFonts w:cs="Arial"/>
                <w:sz w:val="22"/>
                <w:szCs w:val="22"/>
              </w:rPr>
              <w:t>00</w:t>
            </w:r>
          </w:p>
        </w:tc>
        <w:tc>
          <w:tcPr>
            <w:tcW w:w="7159" w:type="dxa"/>
            <w:vAlign w:val="center"/>
          </w:tcPr>
          <w:p w:rsidR="00A131EC" w:rsidRPr="00D47AD5" w:rsidRDefault="00D47AD5" w:rsidP="00A131EC">
            <w:pPr>
              <w:pStyle w:val="ETFBulletlevel1"/>
              <w:numPr>
                <w:ilvl w:val="0"/>
                <w:numId w:val="0"/>
              </w:numPr>
              <w:rPr>
                <w:rFonts w:cs="Arial"/>
                <w:sz w:val="22"/>
                <w:szCs w:val="22"/>
                <w:lang w:val="fr-FR"/>
              </w:rPr>
            </w:pPr>
            <w:r w:rsidRPr="00D47AD5">
              <w:rPr>
                <w:rFonts w:cs="Arial"/>
                <w:sz w:val="22"/>
                <w:szCs w:val="22"/>
                <w:lang w:val="fr-FR"/>
              </w:rPr>
              <w:t>D</w:t>
            </w:r>
            <w:r w:rsidR="004204FE" w:rsidRPr="00D47AD5">
              <w:rPr>
                <w:rFonts w:cs="Arial"/>
                <w:sz w:val="22"/>
                <w:szCs w:val="22"/>
                <w:lang w:val="fr-FR"/>
              </w:rPr>
              <w:t>éjeuner</w:t>
            </w:r>
          </w:p>
        </w:tc>
      </w:tr>
    </w:tbl>
    <w:p w:rsidR="008A4A77" w:rsidRDefault="008A4A77" w:rsidP="001902D4">
      <w:pPr>
        <w:pStyle w:val="Corpsdetexte"/>
      </w:pPr>
    </w:p>
    <w:sectPr w:rsidR="008A4A77" w:rsidSect="00EF606E">
      <w:footerReference w:type="default" r:id="rId8"/>
      <w:headerReference w:type="first" r:id="rId9"/>
      <w:footerReference w:type="first" r:id="rId10"/>
      <w:pgSz w:w="11906" w:h="16838"/>
      <w:pgMar w:top="1135" w:right="1274" w:bottom="2127" w:left="1560"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CED" w:rsidRDefault="00591CED" w:rsidP="0089222B">
      <w:r>
        <w:separator/>
      </w:r>
    </w:p>
  </w:endnote>
  <w:endnote w:type="continuationSeparator" w:id="1">
    <w:p w:rsidR="00591CED" w:rsidRDefault="00591CED" w:rsidP="008922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panose1 w:val="00000000000000000000"/>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3" w:rsidRDefault="0012537B" w:rsidP="0089222B">
    <w:pPr>
      <w:pStyle w:val="Pieddepage"/>
    </w:pPr>
    <w:r w:rsidRPr="0012537B">
      <w:rPr>
        <w:noProof/>
        <w:lang w:eastAsia="en-GB"/>
      </w:rPr>
      <w:pict>
        <v:roundrect id="AutoShape 4" o:spid="_x0000_s6150" style="position:absolute;left:0;text-align:left;margin-left:52.45pt;margin-top:-8.5pt;width:511.65pt;height:34pt;z-index:251654139;visibility:visible;mso-position-horizontal-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" fillcolor="#0092bb [3204]" stroked="f" strokecolor="#0393bc" strokeweight="3pt">
          <v:fill color2="#66bed6 [3205]" rotate="t" angle="90" focus="100%" type="gradient"/>
          <v:shadow color="#336a7f [1608]" opacity=".5" offset="1pt"/>
          <v:textbox inset=",,4.5mm">
            <w:txbxContent>
              <w:p w:rsidR="00971563" w:rsidRPr="00DB5D6E" w:rsidRDefault="00971563" w:rsidP="00DB5D6E"/>
            </w:txbxContent>
          </v:textbox>
          <w10:wrap anchorx="page"/>
        </v:roundrect>
      </w:pict>
    </w:r>
    <w:r w:rsidRPr="0012537B">
      <w:rPr>
        <w:noProof/>
        <w:lang w:eastAsia="en-GB"/>
      </w:rPr>
      <w:pict>
        <v:rect id="Rectangle 5" o:spid="_x0000_s6149" style="position:absolute;left:0;text-align:left;margin-left:52.45pt;margin-top:-8.5pt;width:495.8pt;height:21pt;z-index:25165311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" fillcolor="#0092bb [3204]" stroked="f">
          <v:fill color2="#66bed6 [3205]" rotate="t" angle="90" focus="100%" type="gradient"/>
          <w10:wrap anchorx="page"/>
        </v:rect>
      </w:pict>
    </w:r>
  </w:p>
  <w:p w:rsidR="00971563" w:rsidRDefault="00971563" w:rsidP="0089222B">
    <w:pPr>
      <w:pStyle w:val="Pieddepage"/>
    </w:pPr>
    <w:r>
      <w:rPr>
        <w:noProof/>
        <w:lang w:val="fr-FR" w:eastAsia="fr-FR"/>
      </w:rPr>
      <w:drawing>
        <wp:anchor distT="0" distB="0" distL="114300" distR="114300" simplePos="0" relativeHeight="251663360" behindDoc="0" locked="0" layoutInCell="1" allowOverlap="1">
          <wp:simplePos x="0" y="0"/>
          <wp:positionH relativeFrom="page">
            <wp:posOffset>1149350</wp:posOffset>
          </wp:positionH>
          <wp:positionV relativeFrom="paragraph">
            <wp:posOffset>-241300</wp:posOffset>
          </wp:positionV>
          <wp:extent cx="844550" cy="368300"/>
          <wp:effectExtent l="19050" t="0" r="0" b="0"/>
          <wp:wrapNone/>
          <wp:docPr id="7"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3" w:rsidRDefault="0012537B" w:rsidP="0089222B">
    <w:pPr>
      <w:pStyle w:val="Pieddepage"/>
    </w:pPr>
    <w:r w:rsidRPr="0012537B">
      <w:rPr>
        <w:noProof/>
        <w:lang w:eastAsia="en-GB"/>
      </w:rPr>
      <w:pict>
        <v:shapetype id="_x0000_t202" coordsize="21600,21600" o:spt="202" path="m,l,21600r21600,l21600,xe">
          <v:stroke joinstyle="miter"/>
          <v:path gradientshapeok="t" o:connecttype="rect"/>
        </v:shapetype>
        <v:shape id="Text Box 7" o:spid="_x0000_s6148" type="#_x0000_t202" style="position:absolute;left:0;text-align:left;margin-left:173.9pt;margin-top:-62.8pt;width:296.6pt;height:41.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XugIAAMA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" filled="f" stroked="f">
          <v:textbox style="mso-next-textbox:#Text Box 7">
            <w:txbxContent>
              <w:p w:rsidR="004204FE" w:rsidRPr="004204FE" w:rsidRDefault="004204FE" w:rsidP="004204FE">
                <w:pPr>
                  <w:spacing w:after="0" w:line="276" w:lineRule="auto"/>
                  <w:jc w:val="right"/>
                  <w:rPr>
                    <w:sz w:val="16"/>
                    <w:szCs w:val="16"/>
                    <w:lang w:val="fr-FR"/>
                  </w:rPr>
                </w:pPr>
                <w:r w:rsidRPr="004204FE">
                  <w:rPr>
                    <w:sz w:val="16"/>
                    <w:szCs w:val="16"/>
                    <w:lang w:val="fr-FR"/>
                  </w:rPr>
                  <w:t>Sous réserve de confirmation finale</w:t>
                </w:r>
              </w:p>
              <w:p w:rsidR="00971563" w:rsidRPr="004204FE" w:rsidRDefault="004204FE" w:rsidP="004204FE">
                <w:pPr>
                  <w:spacing w:after="0" w:line="276" w:lineRule="auto"/>
                  <w:jc w:val="right"/>
                  <w:rPr>
                    <w:lang w:val="fr-FR"/>
                  </w:rPr>
                </w:pPr>
                <w:r w:rsidRPr="004204FE">
                  <w:rPr>
                    <w:sz w:val="16"/>
                    <w:szCs w:val="16"/>
                    <w:lang w:val="fr-FR"/>
                  </w:rPr>
                  <w:t>Les conférenciers recevront une note d'information détaillée sur leur session</w:t>
                </w:r>
              </w:p>
            </w:txbxContent>
          </v:textbox>
        </v:shape>
      </w:pict>
    </w:r>
    <w:r w:rsidRPr="0012537B">
      <w:rPr>
        <w:noProof/>
        <w:lang w:eastAsia="en-GB"/>
      </w:rPr>
      <w:pict>
        <v:group id="Group 7" o:spid="_x0000_s6145" style="position:absolute;left:0;text-align:left;margin-left:-41.15pt;margin-top:-21.25pt;width:511.65pt;height:34pt;z-index:251667456" coordorigin="1049,15593" coordsize="102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">
          <v:rect id="Rectangle 3" o:spid="_x0000_s6147" style="position:absolute;left:1049;top:15593;width:9976;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" fillcolor="#0092bb [3204]" stroked="f">
            <v:fill color2="#66bed6 [3205]" rotate="t" angle="90" focus="100%" type="gradient"/>
          </v:rect>
          <v:roundrect id="AutoShape 1" o:spid="_x0000_s6146" style="position:absolute;left:1049;top:15593;width:10233;height:680;visibility:visible" arcsize="2534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" fillcolor="#0092bb [3204]" stroked="f" strokecolor="#0393bc" strokeweight="3pt">
            <v:fill color2="#66bed6 [3205]" rotate="t" angle="90" focus="100%" type="gradient"/>
            <v:shadow color="#336a7f [1608]" opacity=".5" offset="1pt"/>
          </v:roundrec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CED" w:rsidRDefault="00591CED" w:rsidP="0089222B">
      <w:r>
        <w:separator/>
      </w:r>
    </w:p>
  </w:footnote>
  <w:footnote w:type="continuationSeparator" w:id="1">
    <w:p w:rsidR="00591CED" w:rsidRDefault="00591CED" w:rsidP="00892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A79" w:rsidRDefault="00C54BFD" w:rsidP="00AF3A79">
    <w:pPr>
      <w:pStyle w:val="En-tte"/>
      <w:ind w:left="3119"/>
      <w:rPr>
        <w:b/>
        <w:color w:val="0092BB" w:themeColor="accent1"/>
        <w:sz w:val="18"/>
        <w:szCs w:val="18"/>
        <w:lang w:val="it-IT"/>
      </w:rPr>
    </w:pPr>
    <w:r>
      <w:rPr>
        <w:b/>
        <w:noProof/>
        <w:color w:val="0092BB" w:themeColor="accent1"/>
        <w:sz w:val="18"/>
        <w:szCs w:val="18"/>
        <w:lang w:val="fr-FR" w:eastAsia="fr-FR"/>
      </w:rPr>
      <w:pict>
        <v:shapetype id="_x0000_t202" coordsize="21600,21600" o:spt="202" path="m,l,21600r21600,l21600,xe">
          <v:stroke joinstyle="miter"/>
          <v:path gradientshapeok="t" o:connecttype="rect"/>
        </v:shapetype>
        <v:shape id="_x0000_s6155" type="#_x0000_t202" style="position:absolute;left:0;text-align:left;margin-left:350.15pt;margin-top:-16pt;width:136.85pt;height:105.15pt;z-index:251672576;mso-width-relative:margin;mso-height-relative:margin" strokecolor="white [3212]">
          <v:textbox style="mso-next-textbox:#_x0000_s6155">
            <w:txbxContent>
              <w:p w:rsidR="00AF3A79" w:rsidRPr="0028037C" w:rsidRDefault="00AF3A79" w:rsidP="00AF3A79">
                <w:pPr>
                  <w:pStyle w:val="En-tte"/>
                  <w:tabs>
                    <w:tab w:val="left" w:pos="567"/>
                  </w:tabs>
                  <w:ind w:left="-284"/>
                  <w:rPr>
                    <w:color w:val="7F7F7F" w:themeColor="text1" w:themeTint="80"/>
                  </w:rPr>
                </w:pPr>
              </w:p>
              <w:p w:rsidR="00AF3A79" w:rsidRPr="0028037C" w:rsidRDefault="00AF3A79" w:rsidP="00AF3A79">
                <w:pPr>
                  <w:pStyle w:val="En-tte"/>
                  <w:rPr>
                    <w:rFonts w:asciiTheme="minorBidi" w:hAnsiTheme="minorBidi" w:cstheme="minorBidi"/>
                    <w:b/>
                    <w:bCs/>
                    <w:color w:val="7F7F7F" w:themeColor="text1" w:themeTint="80"/>
                    <w:sz w:val="16"/>
                    <w:szCs w:val="16"/>
                    <w:lang w:val="fr-FR"/>
                  </w:rPr>
                </w:pPr>
                <w:r w:rsidRPr="0028037C">
                  <w:rPr>
                    <w:rFonts w:asciiTheme="minorBidi" w:hAnsiTheme="minorBidi" w:cstheme="minorBidi"/>
                    <w:b/>
                    <w:bCs/>
                    <w:color w:val="7F7F7F" w:themeColor="text1" w:themeTint="80"/>
                    <w:sz w:val="16"/>
                    <w:szCs w:val="16"/>
                    <w:lang w:val="fr-FR"/>
                  </w:rPr>
                  <w:drawing>
                    <wp:inline distT="0" distB="0" distL="0" distR="0">
                      <wp:extent cx="804734" cy="772485"/>
                      <wp:effectExtent l="19050" t="0" r="0" b="0"/>
                      <wp:docPr id="16" name="Image 7" descr="thTN03UO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TN03UOMK"/>
                              <pic:cNvPicPr>
                                <a:picLocks noChangeAspect="1" noChangeArrowheads="1"/>
                              </pic:cNvPicPr>
                            </pic:nvPicPr>
                            <pic:blipFill>
                              <a:blip r:embed="rId1"/>
                              <a:srcRect/>
                              <a:stretch>
                                <a:fillRect/>
                              </a:stretch>
                            </pic:blipFill>
                            <pic:spPr bwMode="auto">
                              <a:xfrm>
                                <a:off x="0" y="0"/>
                                <a:ext cx="807085" cy="774742"/>
                              </a:xfrm>
                              <a:prstGeom prst="rect">
                                <a:avLst/>
                              </a:prstGeom>
                              <a:noFill/>
                              <a:ln w="9525">
                                <a:noFill/>
                                <a:miter lim="800000"/>
                                <a:headEnd/>
                                <a:tailEnd/>
                              </a:ln>
                            </pic:spPr>
                          </pic:pic>
                        </a:graphicData>
                      </a:graphic>
                    </wp:inline>
                  </w:drawing>
                </w:r>
              </w:p>
              <w:p w:rsidR="00AF3A79" w:rsidRPr="00CC5B72" w:rsidRDefault="00AF3A79" w:rsidP="00AF3A79">
                <w:pPr>
                  <w:pStyle w:val="En-tte"/>
                  <w:rPr>
                    <w:rFonts w:asciiTheme="minorBidi" w:hAnsiTheme="minorBidi" w:cstheme="minorBidi"/>
                    <w:b/>
                    <w:bCs/>
                    <w:sz w:val="14"/>
                    <w:szCs w:val="14"/>
                    <w:lang w:val="fr-FR"/>
                  </w:rPr>
                </w:pPr>
                <w:r w:rsidRPr="00CC5B72">
                  <w:rPr>
                    <w:rFonts w:asciiTheme="minorBidi" w:hAnsiTheme="minorBidi" w:cstheme="minorBidi"/>
                    <w:b/>
                    <w:bCs/>
                    <w:sz w:val="14"/>
                    <w:szCs w:val="14"/>
                    <w:lang w:val="fr-FR"/>
                  </w:rPr>
                  <w:t>République Tunisienne</w:t>
                </w:r>
              </w:p>
              <w:p w:rsidR="00AF3A79" w:rsidRPr="00CC5B72" w:rsidRDefault="00AF3A79" w:rsidP="00AF3A79">
                <w:pPr>
                  <w:pStyle w:val="En-tte"/>
                  <w:tabs>
                    <w:tab w:val="left" w:pos="-284"/>
                  </w:tabs>
                  <w:rPr>
                    <w:rFonts w:asciiTheme="minorBidi" w:hAnsiTheme="minorBidi" w:cstheme="minorBidi"/>
                    <w:b/>
                    <w:bCs/>
                    <w:sz w:val="14"/>
                    <w:szCs w:val="14"/>
                    <w:lang w:val="fr-FR"/>
                  </w:rPr>
                </w:pPr>
                <w:r w:rsidRPr="00CC5B72">
                  <w:rPr>
                    <w:rFonts w:asciiTheme="minorBidi" w:hAnsiTheme="minorBidi" w:cstheme="minorBidi"/>
                    <w:b/>
                    <w:bCs/>
                    <w:sz w:val="14"/>
                    <w:szCs w:val="14"/>
                    <w:lang w:val="fr-FR"/>
                  </w:rPr>
                  <w:t xml:space="preserve">Ministère de la Formation Professionnelle </w:t>
                </w:r>
                <w:r w:rsidR="00CC5B72" w:rsidRPr="00CC5B72">
                  <w:rPr>
                    <w:rFonts w:asciiTheme="minorBidi" w:hAnsiTheme="minorBidi" w:cstheme="minorBidi"/>
                    <w:b/>
                    <w:bCs/>
                    <w:sz w:val="14"/>
                    <w:szCs w:val="14"/>
                    <w:lang w:val="fr-FR"/>
                  </w:rPr>
                  <w:t xml:space="preserve"> et de l’Emploi</w:t>
                </w:r>
              </w:p>
              <w:p w:rsidR="00AF3A79" w:rsidRPr="0028037C" w:rsidRDefault="00AF3A79" w:rsidP="00AF3A79">
                <w:pPr>
                  <w:pStyle w:val="En-tte"/>
                  <w:tabs>
                    <w:tab w:val="left" w:pos="-284"/>
                  </w:tabs>
                  <w:rPr>
                    <w:rFonts w:asciiTheme="minorBidi" w:hAnsiTheme="minorBidi" w:cstheme="minorBidi"/>
                    <w:b/>
                    <w:bCs/>
                    <w:color w:val="7F7F7F" w:themeColor="text1" w:themeTint="80"/>
                    <w:sz w:val="12"/>
                    <w:szCs w:val="12"/>
                    <w:lang w:val="fr-FR"/>
                  </w:rPr>
                </w:pPr>
                <w:r w:rsidRPr="0028037C">
                  <w:rPr>
                    <w:rFonts w:ascii="Antique Olive Compact" w:hAnsi="Antique Olive Compact" w:cstheme="minorBidi"/>
                    <w:b/>
                    <w:bCs/>
                    <w:color w:val="7F7F7F" w:themeColor="text1" w:themeTint="80"/>
                    <w:sz w:val="14"/>
                    <w:szCs w:val="14"/>
                    <w:lang w:val="fr-FR"/>
                  </w:rPr>
                  <w:t>et de L’Emploi</w:t>
                </w:r>
              </w:p>
              <w:p w:rsidR="00AF3A79" w:rsidRPr="0028037C" w:rsidRDefault="00AF3A79" w:rsidP="00AF3A79">
                <w:pPr>
                  <w:rPr>
                    <w:color w:val="7F7F7F" w:themeColor="text1" w:themeTint="80"/>
                    <w:lang w:val="fr-FR"/>
                  </w:rPr>
                </w:pPr>
              </w:p>
              <w:p w:rsidR="00AF3A79" w:rsidRPr="0028037C" w:rsidRDefault="00AF3A79" w:rsidP="00AF3A79">
                <w:pPr>
                  <w:pStyle w:val="En-tte"/>
                  <w:ind w:left="-426" w:firstLine="142"/>
                  <w:rPr>
                    <w:rFonts w:ascii="Sakkal Majalla" w:hAnsi="Sakkal Majalla" w:cs="Sakkal Majalla"/>
                    <w:b/>
                    <w:bCs/>
                    <w:color w:val="7F7F7F" w:themeColor="text1" w:themeTint="80"/>
                    <w:sz w:val="24"/>
                    <w:szCs w:val="24"/>
                    <w:lang w:val="fr-FR"/>
                  </w:rPr>
                </w:pPr>
              </w:p>
            </w:txbxContent>
          </v:textbox>
        </v:shape>
      </w:pict>
    </w:r>
    <w:r>
      <w:rPr>
        <w:b/>
        <w:noProof/>
        <w:color w:val="0092BB" w:themeColor="accent1"/>
        <w:sz w:val="18"/>
        <w:szCs w:val="18"/>
        <w:lang w:val="fr-FR" w:eastAsia="fr-FR"/>
      </w:rPr>
      <w:drawing>
        <wp:anchor distT="0" distB="540385" distL="114300" distR="114300" simplePos="0" relativeHeight="251659264" behindDoc="0" locked="0" layoutInCell="1" allowOverlap="1">
          <wp:simplePos x="0" y="0"/>
          <wp:positionH relativeFrom="page">
            <wp:posOffset>653364</wp:posOffset>
          </wp:positionH>
          <wp:positionV relativeFrom="page">
            <wp:posOffset>560173</wp:posOffset>
          </wp:positionV>
          <wp:extent cx="2122787" cy="930876"/>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122787" cy="930876"/>
                  </a:xfrm>
                  <a:prstGeom prst="rect">
                    <a:avLst/>
                  </a:prstGeom>
                  <a:noFill/>
                  <a:ln w="9525">
                    <a:noFill/>
                    <a:miter lim="800000"/>
                    <a:headEnd/>
                    <a:tailEnd/>
                  </a:ln>
                </pic:spPr>
              </pic:pic>
            </a:graphicData>
          </a:graphic>
        </wp:anchor>
      </w:drawing>
    </w:r>
  </w:p>
  <w:p w:rsidR="00802817" w:rsidRDefault="00802817" w:rsidP="00AF3A79">
    <w:pPr>
      <w:pStyle w:val="En-tte"/>
      <w:ind w:left="3119"/>
      <w:rPr>
        <w:b/>
        <w:color w:val="0092BB" w:themeColor="accent1"/>
        <w:sz w:val="18"/>
        <w:szCs w:val="18"/>
        <w:lang w:val="it-IT"/>
      </w:rPr>
    </w:pPr>
  </w:p>
  <w:p w:rsidR="00971563" w:rsidRPr="00E90AFD" w:rsidRDefault="00971563" w:rsidP="00AF3A79">
    <w:pPr>
      <w:pStyle w:val="En-tte"/>
      <w:ind w:left="3119"/>
      <w:rPr>
        <w:color w:val="0092BB" w:themeColor="accent1"/>
        <w:sz w:val="18"/>
        <w:szCs w:val="18"/>
        <w:lang w:val="it-IT"/>
      </w:rPr>
    </w:pPr>
    <w:r w:rsidRPr="00E90AFD">
      <w:rPr>
        <w:b/>
        <w:color w:val="0092BB" w:themeColor="accent1"/>
        <w:sz w:val="18"/>
        <w:szCs w:val="18"/>
        <w:lang w:val="it-IT"/>
      </w:rPr>
      <w:t>ADDRESS</w:t>
    </w:r>
    <w:r w:rsidRPr="00E90AFD">
      <w:rPr>
        <w:color w:val="0092BB" w:themeColor="accent1"/>
        <w:sz w:val="18"/>
        <w:szCs w:val="18"/>
        <w:lang w:val="it-IT"/>
      </w:rPr>
      <w:t xml:space="preserve"> Villa Gualino,</w:t>
    </w:r>
  </w:p>
  <w:p w:rsidR="00971563" w:rsidRPr="00E90AFD" w:rsidRDefault="00971563" w:rsidP="00AF3A79">
    <w:pPr>
      <w:pStyle w:val="En-tte"/>
      <w:ind w:left="3119"/>
      <w:rPr>
        <w:color w:val="0092BB" w:themeColor="accent1"/>
        <w:sz w:val="18"/>
        <w:szCs w:val="18"/>
        <w:lang w:val="it-IT"/>
      </w:rPr>
    </w:pPr>
    <w:r w:rsidRPr="00E90AFD">
      <w:rPr>
        <w:color w:val="0092BB" w:themeColor="accent1"/>
        <w:sz w:val="18"/>
        <w:szCs w:val="18"/>
        <w:lang w:val="it-IT"/>
      </w:rPr>
      <w:t>Viale Settimio Severo 65,</w:t>
    </w:r>
  </w:p>
  <w:p w:rsidR="00971563" w:rsidRPr="00E90AFD" w:rsidRDefault="00971563" w:rsidP="00AF3A79">
    <w:pPr>
      <w:pStyle w:val="En-tte"/>
      <w:ind w:left="3119"/>
      <w:rPr>
        <w:color w:val="0092BB" w:themeColor="accent1"/>
        <w:sz w:val="18"/>
        <w:szCs w:val="18"/>
        <w:lang w:val="it-IT"/>
      </w:rPr>
    </w:pPr>
    <w:r w:rsidRPr="00E90AFD">
      <w:rPr>
        <w:color w:val="0092BB" w:themeColor="accent1"/>
        <w:sz w:val="18"/>
        <w:szCs w:val="18"/>
        <w:lang w:val="it-IT"/>
      </w:rPr>
      <w:t>I - 10133 Torino, Italy</w:t>
    </w:r>
  </w:p>
  <w:p w:rsidR="00971563" w:rsidRPr="00E90AFD" w:rsidRDefault="00971563" w:rsidP="00AF3A79">
    <w:pPr>
      <w:pStyle w:val="En-tte"/>
      <w:ind w:left="3119"/>
      <w:rPr>
        <w:color w:val="0092BB" w:themeColor="accent1"/>
        <w:sz w:val="18"/>
        <w:szCs w:val="18"/>
        <w:lang w:val="it-IT"/>
      </w:rPr>
    </w:pPr>
    <w:r w:rsidRPr="00E90AFD">
      <w:rPr>
        <w:b/>
        <w:color w:val="0092BB" w:themeColor="accent1"/>
        <w:sz w:val="18"/>
        <w:szCs w:val="18"/>
        <w:lang w:val="it-IT"/>
      </w:rPr>
      <w:t>TEL</w:t>
    </w:r>
    <w:r w:rsidRPr="00E90AFD">
      <w:rPr>
        <w:color w:val="0092BB" w:themeColor="accent1"/>
        <w:sz w:val="18"/>
        <w:szCs w:val="18"/>
        <w:lang w:val="it-IT"/>
      </w:rPr>
      <w:t xml:space="preserve"> +39 011 630 2222</w:t>
    </w:r>
  </w:p>
  <w:p w:rsidR="00971563" w:rsidRPr="00E90AFD" w:rsidRDefault="00971563" w:rsidP="00AF3A79">
    <w:pPr>
      <w:pStyle w:val="En-tte"/>
      <w:ind w:left="3119"/>
      <w:rPr>
        <w:color w:val="0092BB" w:themeColor="accent1"/>
        <w:sz w:val="18"/>
        <w:szCs w:val="18"/>
        <w:lang w:val="it-IT"/>
      </w:rPr>
    </w:pPr>
    <w:r w:rsidRPr="00E90AFD">
      <w:rPr>
        <w:b/>
        <w:color w:val="0092BB" w:themeColor="accent1"/>
        <w:sz w:val="18"/>
        <w:szCs w:val="18"/>
        <w:lang w:val="it-IT"/>
      </w:rPr>
      <w:t>EMAIL</w:t>
    </w:r>
    <w:r w:rsidRPr="00E90AFD">
      <w:rPr>
        <w:color w:val="0092BB" w:themeColor="accent1"/>
        <w:sz w:val="18"/>
        <w:szCs w:val="18"/>
        <w:lang w:val="it-IT"/>
      </w:rPr>
      <w:t xml:space="preserve"> info@etf.europa.eu</w:t>
    </w:r>
  </w:p>
  <w:p w:rsidR="00971563" w:rsidRDefault="00971563" w:rsidP="00AF3A79">
    <w:pPr>
      <w:pStyle w:val="En-tte"/>
      <w:ind w:left="3119"/>
      <w:rPr>
        <w:color w:val="0092BB" w:themeColor="accent1"/>
        <w:sz w:val="18"/>
        <w:szCs w:val="18"/>
        <w:lang w:val="it-IT"/>
      </w:rPr>
    </w:pPr>
    <w:r>
      <w:rPr>
        <w:b/>
        <w:noProof/>
        <w:color w:val="0092BB" w:themeColor="accent1"/>
        <w:sz w:val="18"/>
        <w:szCs w:val="18"/>
        <w:lang w:val="fr-FR" w:eastAsia="fr-FR"/>
      </w:rPr>
      <w:drawing>
        <wp:anchor distT="0" distB="0" distL="114300" distR="114300" simplePos="0" relativeHeight="251668480" behindDoc="0" locked="0" layoutInCell="1" allowOverlap="1">
          <wp:simplePos x="0" y="0"/>
          <wp:positionH relativeFrom="page">
            <wp:posOffset>423309</wp:posOffset>
          </wp:positionH>
          <wp:positionV relativeFrom="page">
            <wp:posOffset>2054087</wp:posOffset>
          </wp:positionV>
          <wp:extent cx="6718937" cy="2848610"/>
          <wp:effectExtent l="19050" t="0" r="5713" b="0"/>
          <wp:wrapNone/>
          <wp:docPr id="1" name="Picture 1" descr="C:\Work\ETF\Design\Graphics\M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ETF\Design\Graphics\Memo.png"/>
                  <pic:cNvPicPr>
                    <a:picLocks noChangeAspect="1" noChangeArrowheads="1"/>
                  </pic:cNvPicPr>
                </pic:nvPicPr>
                <pic:blipFill>
                  <a:blip r:embed="rId3"/>
                  <a:stretch>
                    <a:fillRect/>
                  </a:stretch>
                </pic:blipFill>
                <pic:spPr bwMode="auto">
                  <a:xfrm>
                    <a:off x="0" y="0"/>
                    <a:ext cx="6718937" cy="2848610"/>
                  </a:xfrm>
                  <a:prstGeom prst="rect">
                    <a:avLst/>
                  </a:prstGeom>
                  <a:noFill/>
                  <a:ln w="9525">
                    <a:noFill/>
                    <a:miter lim="800000"/>
                    <a:headEnd/>
                    <a:tailEnd/>
                  </a:ln>
                </pic:spPr>
              </pic:pic>
            </a:graphicData>
          </a:graphic>
        </wp:anchor>
      </w:drawing>
    </w:r>
    <w:r w:rsidRPr="00E90AFD">
      <w:rPr>
        <w:b/>
        <w:color w:val="0092BB" w:themeColor="accent1"/>
        <w:sz w:val="18"/>
        <w:szCs w:val="18"/>
        <w:lang w:val="it-IT"/>
      </w:rPr>
      <w:t>WEB</w:t>
    </w:r>
    <w:r w:rsidRPr="00E90AFD">
      <w:rPr>
        <w:color w:val="0092BB" w:themeColor="accent1"/>
        <w:sz w:val="18"/>
        <w:szCs w:val="18"/>
        <w:lang w:val="it-IT"/>
      </w:rPr>
      <w:t xml:space="preserve"> www.etf.europa.eu</w:t>
    </w:r>
    <w:r w:rsidR="00AF3A79">
      <w:rPr>
        <w:color w:val="0092BB" w:themeColor="accent1"/>
        <w:sz w:val="18"/>
        <w:szCs w:val="18"/>
        <w:lang w:val="it-IT"/>
      </w:rPr>
      <w:t xml:space="preserve"> </w:t>
    </w:r>
  </w:p>
  <w:p w:rsidR="00971563" w:rsidRDefault="00971563" w:rsidP="000B4A74">
    <w:pPr>
      <w:pStyle w:val="En-tte"/>
      <w:ind w:left="6804"/>
      <w:rPr>
        <w:color w:val="0092BB" w:themeColor="accent1"/>
        <w:sz w:val="18"/>
        <w:szCs w:val="18"/>
        <w:lang w:val="it-IT"/>
      </w:rPr>
    </w:pPr>
  </w:p>
  <w:p w:rsidR="00971563" w:rsidRPr="006821EF" w:rsidRDefault="00971563" w:rsidP="000B4A74">
    <w:pPr>
      <w:pStyle w:val="En-tte"/>
      <w:ind w:left="6804"/>
      <w:rPr>
        <w:color w:val="0092BB" w:themeColor="accent1"/>
        <w:sz w:val="16"/>
        <w:szCs w:val="18"/>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EE1A36"/>
    <w:lvl w:ilvl="0">
      <w:start w:val="1"/>
      <w:numFmt w:val="decimal"/>
      <w:lvlText w:val="%1."/>
      <w:lvlJc w:val="left"/>
      <w:pPr>
        <w:tabs>
          <w:tab w:val="num" w:pos="1492"/>
        </w:tabs>
        <w:ind w:left="1492" w:hanging="360"/>
      </w:pPr>
    </w:lvl>
  </w:abstractNum>
  <w:abstractNum w:abstractNumId="1">
    <w:nsid w:val="FFFFFF7D"/>
    <w:multiLevelType w:val="singleLevel"/>
    <w:tmpl w:val="951E1616"/>
    <w:lvl w:ilvl="0">
      <w:start w:val="1"/>
      <w:numFmt w:val="decimal"/>
      <w:lvlText w:val="%1."/>
      <w:lvlJc w:val="left"/>
      <w:pPr>
        <w:tabs>
          <w:tab w:val="num" w:pos="1209"/>
        </w:tabs>
        <w:ind w:left="1209" w:hanging="360"/>
      </w:pPr>
    </w:lvl>
  </w:abstractNum>
  <w:abstractNum w:abstractNumId="2">
    <w:nsid w:val="FFFFFF7E"/>
    <w:multiLevelType w:val="singleLevel"/>
    <w:tmpl w:val="472CC00E"/>
    <w:lvl w:ilvl="0">
      <w:start w:val="1"/>
      <w:numFmt w:val="decimal"/>
      <w:lvlText w:val="%1."/>
      <w:lvlJc w:val="left"/>
      <w:pPr>
        <w:tabs>
          <w:tab w:val="num" w:pos="926"/>
        </w:tabs>
        <w:ind w:left="926" w:hanging="360"/>
      </w:pPr>
    </w:lvl>
  </w:abstractNum>
  <w:abstractNum w:abstractNumId="3">
    <w:nsid w:val="FFFFFF7F"/>
    <w:multiLevelType w:val="singleLevel"/>
    <w:tmpl w:val="1D40691A"/>
    <w:lvl w:ilvl="0">
      <w:start w:val="1"/>
      <w:numFmt w:val="decimal"/>
      <w:pStyle w:val="Listenumros2"/>
      <w:lvlText w:val="%1."/>
      <w:lvlJc w:val="left"/>
      <w:pPr>
        <w:tabs>
          <w:tab w:val="num" w:pos="643"/>
        </w:tabs>
        <w:ind w:left="643" w:hanging="360"/>
      </w:pPr>
    </w:lvl>
  </w:abstractNum>
  <w:abstractNum w:abstractNumId="4">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420FA6"/>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83D64588"/>
    <w:lvl w:ilvl="0">
      <w:start w:val="1"/>
      <w:numFmt w:val="decimal"/>
      <w:pStyle w:val="Listenumros"/>
      <w:lvlText w:val="%1."/>
      <w:lvlJc w:val="left"/>
      <w:pPr>
        <w:tabs>
          <w:tab w:val="num" w:pos="360"/>
        </w:tabs>
        <w:ind w:left="360" w:hanging="360"/>
      </w:pPr>
    </w:lvl>
  </w:abstractNum>
  <w:abstractNum w:abstractNumId="9">
    <w:nsid w:val="FFFFFF89"/>
    <w:multiLevelType w:val="singleLevel"/>
    <w:tmpl w:val="F7340EB8"/>
    <w:lvl w:ilvl="0">
      <w:start w:val="1"/>
      <w:numFmt w:val="bullet"/>
      <w:lvlText w:val="■"/>
      <w:lvlJc w:val="left"/>
      <w:pPr>
        <w:tabs>
          <w:tab w:val="num" w:pos="360"/>
        </w:tabs>
        <w:ind w:left="360" w:hanging="360"/>
      </w:pPr>
      <w:rPr>
        <w:rFonts w:ascii="Arial" w:hAnsi="Arial" w:hint="default"/>
        <w:color w:val="66BED6" w:themeColor="accent2"/>
        <w:sz w:val="24"/>
      </w:rPr>
    </w:lvl>
  </w:abstractNum>
  <w:abstractNum w:abstractNumId="10">
    <w:nsid w:val="0AC555A1"/>
    <w:multiLevelType w:val="multilevel"/>
    <w:tmpl w:val="96C6D9B0"/>
    <w:lvl w:ilvl="0">
      <w:start w:val="13"/>
      <w:numFmt w:val="decimal"/>
      <w:lvlText w:val="%1"/>
      <w:lvlJc w:val="left"/>
      <w:pPr>
        <w:ind w:left="480" w:hanging="480"/>
      </w:pPr>
      <w:rPr>
        <w:rFonts w:hint="default"/>
      </w:rPr>
    </w:lvl>
    <w:lvl w:ilvl="1">
      <w:start w:val="45"/>
      <w:numFmt w:val="decimal"/>
      <w:lvlText w:val="%1.%2"/>
      <w:lvlJc w:val="left"/>
      <w:pPr>
        <w:ind w:left="514" w:hanging="48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
    <w:nsid w:val="1A9278FD"/>
    <w:multiLevelType w:val="hybridMultilevel"/>
    <w:tmpl w:val="75302A44"/>
    <w:lvl w:ilvl="0" w:tplc="A452663A">
      <w:start w:val="1"/>
      <w:numFmt w:val="bullet"/>
      <w:pStyle w:val="ETFBulletlevel1"/>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AA7D62"/>
    <w:multiLevelType w:val="multilevel"/>
    <w:tmpl w:val="D82CB46A"/>
    <w:lvl w:ilvl="0">
      <w:start w:val="12"/>
      <w:numFmt w:val="decimal"/>
      <w:lvlText w:val="%1.0"/>
      <w:lvlJc w:val="left"/>
      <w:pPr>
        <w:ind w:left="514" w:hanging="480"/>
      </w:pPr>
      <w:rPr>
        <w:rFonts w:hint="default"/>
      </w:rPr>
    </w:lvl>
    <w:lvl w:ilvl="1">
      <w:start w:val="1"/>
      <w:numFmt w:val="decimalZero"/>
      <w:lvlText w:val="%1.%2"/>
      <w:lvlJc w:val="left"/>
      <w:pPr>
        <w:ind w:left="1234"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14" w:hanging="720"/>
      </w:pPr>
      <w:rPr>
        <w:rFonts w:hint="default"/>
      </w:rPr>
    </w:lvl>
    <w:lvl w:ilvl="4">
      <w:start w:val="1"/>
      <w:numFmt w:val="decimal"/>
      <w:lvlText w:val="%1.%2.%3.%4.%5"/>
      <w:lvlJc w:val="left"/>
      <w:pPr>
        <w:ind w:left="3994" w:hanging="1080"/>
      </w:pPr>
      <w:rPr>
        <w:rFonts w:hint="default"/>
      </w:rPr>
    </w:lvl>
    <w:lvl w:ilvl="5">
      <w:start w:val="1"/>
      <w:numFmt w:val="decimal"/>
      <w:lvlText w:val="%1.%2.%3.%4.%5.%6"/>
      <w:lvlJc w:val="left"/>
      <w:pPr>
        <w:ind w:left="4714" w:hanging="1080"/>
      </w:pPr>
      <w:rPr>
        <w:rFonts w:hint="default"/>
      </w:rPr>
    </w:lvl>
    <w:lvl w:ilvl="6">
      <w:start w:val="1"/>
      <w:numFmt w:val="decimal"/>
      <w:lvlText w:val="%1.%2.%3.%4.%5.%6.%7"/>
      <w:lvlJc w:val="left"/>
      <w:pPr>
        <w:ind w:left="5794" w:hanging="1440"/>
      </w:pPr>
      <w:rPr>
        <w:rFonts w:hint="default"/>
      </w:rPr>
    </w:lvl>
    <w:lvl w:ilvl="7">
      <w:start w:val="1"/>
      <w:numFmt w:val="decimal"/>
      <w:lvlText w:val="%1.%2.%3.%4.%5.%6.%7.%8"/>
      <w:lvlJc w:val="left"/>
      <w:pPr>
        <w:ind w:left="6514" w:hanging="1440"/>
      </w:pPr>
      <w:rPr>
        <w:rFonts w:hint="default"/>
      </w:rPr>
    </w:lvl>
    <w:lvl w:ilvl="8">
      <w:start w:val="1"/>
      <w:numFmt w:val="decimal"/>
      <w:lvlText w:val="%1.%2.%3.%4.%5.%6.%7.%8.%9"/>
      <w:lvlJc w:val="left"/>
      <w:pPr>
        <w:ind w:left="7594" w:hanging="1800"/>
      </w:pPr>
      <w:rPr>
        <w:rFonts w:hint="default"/>
      </w:rPr>
    </w:lvl>
  </w:abstractNum>
  <w:abstractNum w:abstractNumId="14">
    <w:nsid w:val="47DE4899"/>
    <w:multiLevelType w:val="hybridMultilevel"/>
    <w:tmpl w:val="1DB4CDD4"/>
    <w:lvl w:ilvl="0" w:tplc="F9585B62">
      <w:start w:val="1"/>
      <w:numFmt w:val="bullet"/>
      <w:lvlText w:val=""/>
      <w:lvlJc w:val="left"/>
      <w:pPr>
        <w:ind w:left="720" w:hanging="360"/>
      </w:pPr>
      <w:rPr>
        <w:rFonts w:ascii="Wingdings" w:hAnsi="Wingdings" w:hint="default"/>
        <w:color w:val="66BED6"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07086B"/>
    <w:multiLevelType w:val="hybridMultilevel"/>
    <w:tmpl w:val="DA4C1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6"/>
  </w:num>
  <w:num w:numId="4">
    <w:abstractNumId w:val="15"/>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2"/>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8"/>
  </w:num>
  <w:num w:numId="33">
    <w:abstractNumId w:val="10"/>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425"/>
  <w:drawingGridHorizontalSpacing w:val="100"/>
  <w:displayHorizontalDrawingGridEvery w:val="2"/>
  <w:characterSpacingControl w:val="doNotCompress"/>
  <w:hdrShapeDefaults>
    <o:shapedefaults v:ext="edit" spidmax="1536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6"/>
    </o:shapelayout>
  </w:hdrShapeDefaults>
  <w:footnotePr>
    <w:footnote w:id="0"/>
    <w:footnote w:id="1"/>
  </w:footnotePr>
  <w:endnotePr>
    <w:endnote w:id="0"/>
    <w:endnote w:id="1"/>
  </w:endnotePr>
  <w:compat/>
  <w:docVars>
    <w:docVar w:name="DocOfficeAddress_Save" w:val=" "/>
  </w:docVars>
  <w:rsids>
    <w:rsidRoot w:val="00C8261E"/>
    <w:rsid w:val="00001D0F"/>
    <w:rsid w:val="000042F5"/>
    <w:rsid w:val="00026575"/>
    <w:rsid w:val="000266BC"/>
    <w:rsid w:val="00034C11"/>
    <w:rsid w:val="0003579C"/>
    <w:rsid w:val="00040787"/>
    <w:rsid w:val="00041F56"/>
    <w:rsid w:val="000547D7"/>
    <w:rsid w:val="0006062B"/>
    <w:rsid w:val="00076EE6"/>
    <w:rsid w:val="0009004C"/>
    <w:rsid w:val="0009334B"/>
    <w:rsid w:val="00094769"/>
    <w:rsid w:val="000B4A74"/>
    <w:rsid w:val="000D0C73"/>
    <w:rsid w:val="000E1890"/>
    <w:rsid w:val="00106524"/>
    <w:rsid w:val="001239FE"/>
    <w:rsid w:val="0012537B"/>
    <w:rsid w:val="00127B57"/>
    <w:rsid w:val="0013658F"/>
    <w:rsid w:val="00140EB8"/>
    <w:rsid w:val="00143F62"/>
    <w:rsid w:val="00145483"/>
    <w:rsid w:val="00160121"/>
    <w:rsid w:val="00161963"/>
    <w:rsid w:val="00162576"/>
    <w:rsid w:val="00165CC2"/>
    <w:rsid w:val="00170D95"/>
    <w:rsid w:val="00175E26"/>
    <w:rsid w:val="001760DB"/>
    <w:rsid w:val="0018091D"/>
    <w:rsid w:val="001853FD"/>
    <w:rsid w:val="001902D4"/>
    <w:rsid w:val="001945E3"/>
    <w:rsid w:val="001A2C75"/>
    <w:rsid w:val="001A33C0"/>
    <w:rsid w:val="001C0C37"/>
    <w:rsid w:val="001C6D53"/>
    <w:rsid w:val="001D787B"/>
    <w:rsid w:val="001E328F"/>
    <w:rsid w:val="001E58DB"/>
    <w:rsid w:val="00202791"/>
    <w:rsid w:val="00210DDE"/>
    <w:rsid w:val="00222DCD"/>
    <w:rsid w:val="002241B3"/>
    <w:rsid w:val="00237EF9"/>
    <w:rsid w:val="0025182E"/>
    <w:rsid w:val="00253681"/>
    <w:rsid w:val="0026323C"/>
    <w:rsid w:val="00273FED"/>
    <w:rsid w:val="002777A9"/>
    <w:rsid w:val="0028037C"/>
    <w:rsid w:val="00293493"/>
    <w:rsid w:val="002A7743"/>
    <w:rsid w:val="002A7978"/>
    <w:rsid w:val="002B7285"/>
    <w:rsid w:val="002C698B"/>
    <w:rsid w:val="002D327C"/>
    <w:rsid w:val="002D5B3F"/>
    <w:rsid w:val="002E3F12"/>
    <w:rsid w:val="002F0826"/>
    <w:rsid w:val="00305AD0"/>
    <w:rsid w:val="00305E02"/>
    <w:rsid w:val="00310F37"/>
    <w:rsid w:val="00322288"/>
    <w:rsid w:val="0032309D"/>
    <w:rsid w:val="003241C0"/>
    <w:rsid w:val="0032577B"/>
    <w:rsid w:val="003376F1"/>
    <w:rsid w:val="00346FF9"/>
    <w:rsid w:val="003476C9"/>
    <w:rsid w:val="00351D9C"/>
    <w:rsid w:val="003706EB"/>
    <w:rsid w:val="00372ED9"/>
    <w:rsid w:val="003756EE"/>
    <w:rsid w:val="00375900"/>
    <w:rsid w:val="003840D7"/>
    <w:rsid w:val="00384DFC"/>
    <w:rsid w:val="00385383"/>
    <w:rsid w:val="0039025F"/>
    <w:rsid w:val="003A1289"/>
    <w:rsid w:val="003A23C3"/>
    <w:rsid w:val="003A5402"/>
    <w:rsid w:val="003A6574"/>
    <w:rsid w:val="003A659F"/>
    <w:rsid w:val="003B3EE8"/>
    <w:rsid w:val="003C42DB"/>
    <w:rsid w:val="003C7911"/>
    <w:rsid w:val="003D7B0F"/>
    <w:rsid w:val="003E3A4C"/>
    <w:rsid w:val="003E6DB7"/>
    <w:rsid w:val="003F2DEE"/>
    <w:rsid w:val="003F68C3"/>
    <w:rsid w:val="004204FE"/>
    <w:rsid w:val="00447892"/>
    <w:rsid w:val="00454B4B"/>
    <w:rsid w:val="00455DC5"/>
    <w:rsid w:val="00470F22"/>
    <w:rsid w:val="0049094C"/>
    <w:rsid w:val="00492A43"/>
    <w:rsid w:val="004B1B7B"/>
    <w:rsid w:val="004B5928"/>
    <w:rsid w:val="004C0BDE"/>
    <w:rsid w:val="004C1472"/>
    <w:rsid w:val="004C2551"/>
    <w:rsid w:val="004D2028"/>
    <w:rsid w:val="004D73F2"/>
    <w:rsid w:val="004E0EA3"/>
    <w:rsid w:val="004F7BD5"/>
    <w:rsid w:val="00514A2A"/>
    <w:rsid w:val="00523390"/>
    <w:rsid w:val="005322B4"/>
    <w:rsid w:val="005346EF"/>
    <w:rsid w:val="00535083"/>
    <w:rsid w:val="00536827"/>
    <w:rsid w:val="00537132"/>
    <w:rsid w:val="00537F6D"/>
    <w:rsid w:val="005406F5"/>
    <w:rsid w:val="00542C57"/>
    <w:rsid w:val="00551227"/>
    <w:rsid w:val="005513EB"/>
    <w:rsid w:val="00551A66"/>
    <w:rsid w:val="00566B9F"/>
    <w:rsid w:val="0056786B"/>
    <w:rsid w:val="00572C45"/>
    <w:rsid w:val="00574008"/>
    <w:rsid w:val="005810A5"/>
    <w:rsid w:val="00591CED"/>
    <w:rsid w:val="0059632F"/>
    <w:rsid w:val="00596488"/>
    <w:rsid w:val="005A0A3A"/>
    <w:rsid w:val="005A616D"/>
    <w:rsid w:val="005B69D1"/>
    <w:rsid w:val="005D02B9"/>
    <w:rsid w:val="005D4C85"/>
    <w:rsid w:val="005D79EA"/>
    <w:rsid w:val="005E1F67"/>
    <w:rsid w:val="005E23A1"/>
    <w:rsid w:val="005E5F6F"/>
    <w:rsid w:val="005F73EE"/>
    <w:rsid w:val="006020CF"/>
    <w:rsid w:val="006022EC"/>
    <w:rsid w:val="00620951"/>
    <w:rsid w:val="006211C5"/>
    <w:rsid w:val="00624FF9"/>
    <w:rsid w:val="00640EC2"/>
    <w:rsid w:val="00653E70"/>
    <w:rsid w:val="0065490A"/>
    <w:rsid w:val="00670FD1"/>
    <w:rsid w:val="006717D5"/>
    <w:rsid w:val="00673851"/>
    <w:rsid w:val="006821EF"/>
    <w:rsid w:val="00682893"/>
    <w:rsid w:val="006865F7"/>
    <w:rsid w:val="00687CA0"/>
    <w:rsid w:val="00690BC2"/>
    <w:rsid w:val="00696223"/>
    <w:rsid w:val="006A1ACD"/>
    <w:rsid w:val="006A5043"/>
    <w:rsid w:val="006B21CD"/>
    <w:rsid w:val="006B4120"/>
    <w:rsid w:val="006D3496"/>
    <w:rsid w:val="006D34D9"/>
    <w:rsid w:val="006E10D9"/>
    <w:rsid w:val="006E18B9"/>
    <w:rsid w:val="00700D0F"/>
    <w:rsid w:val="00710EBF"/>
    <w:rsid w:val="00731269"/>
    <w:rsid w:val="007344AD"/>
    <w:rsid w:val="00740B76"/>
    <w:rsid w:val="00742C4D"/>
    <w:rsid w:val="00754E6B"/>
    <w:rsid w:val="00756981"/>
    <w:rsid w:val="007607FF"/>
    <w:rsid w:val="00760E17"/>
    <w:rsid w:val="00764539"/>
    <w:rsid w:val="0077204E"/>
    <w:rsid w:val="00777A2B"/>
    <w:rsid w:val="007913BB"/>
    <w:rsid w:val="0079461C"/>
    <w:rsid w:val="007C59C3"/>
    <w:rsid w:val="007D176A"/>
    <w:rsid w:val="007D1F87"/>
    <w:rsid w:val="007E3F4A"/>
    <w:rsid w:val="00802817"/>
    <w:rsid w:val="008033CE"/>
    <w:rsid w:val="00804E22"/>
    <w:rsid w:val="0082168C"/>
    <w:rsid w:val="00841B84"/>
    <w:rsid w:val="008420E2"/>
    <w:rsid w:val="008515C5"/>
    <w:rsid w:val="00852726"/>
    <w:rsid w:val="008529AE"/>
    <w:rsid w:val="0087055B"/>
    <w:rsid w:val="0087336F"/>
    <w:rsid w:val="00891D80"/>
    <w:rsid w:val="0089222B"/>
    <w:rsid w:val="0089400D"/>
    <w:rsid w:val="008A35B8"/>
    <w:rsid w:val="008A4A77"/>
    <w:rsid w:val="008B5EBF"/>
    <w:rsid w:val="008C0B28"/>
    <w:rsid w:val="008D4869"/>
    <w:rsid w:val="008D69D0"/>
    <w:rsid w:val="008E6B33"/>
    <w:rsid w:val="008E7353"/>
    <w:rsid w:val="008E7E2C"/>
    <w:rsid w:val="008F589A"/>
    <w:rsid w:val="00900E8E"/>
    <w:rsid w:val="0091161B"/>
    <w:rsid w:val="009143CA"/>
    <w:rsid w:val="0091588F"/>
    <w:rsid w:val="0092797E"/>
    <w:rsid w:val="009417F6"/>
    <w:rsid w:val="00964316"/>
    <w:rsid w:val="00971563"/>
    <w:rsid w:val="0097566B"/>
    <w:rsid w:val="00977737"/>
    <w:rsid w:val="0098315F"/>
    <w:rsid w:val="00984A41"/>
    <w:rsid w:val="00992B65"/>
    <w:rsid w:val="009A2BD8"/>
    <w:rsid w:val="009A3993"/>
    <w:rsid w:val="009C6528"/>
    <w:rsid w:val="009E3DA7"/>
    <w:rsid w:val="009F4DC0"/>
    <w:rsid w:val="00A02C70"/>
    <w:rsid w:val="00A11BF7"/>
    <w:rsid w:val="00A13093"/>
    <w:rsid w:val="00A131EC"/>
    <w:rsid w:val="00A13658"/>
    <w:rsid w:val="00A2430B"/>
    <w:rsid w:val="00A2787D"/>
    <w:rsid w:val="00A30831"/>
    <w:rsid w:val="00A31CF9"/>
    <w:rsid w:val="00A34D4F"/>
    <w:rsid w:val="00A369D0"/>
    <w:rsid w:val="00A371D5"/>
    <w:rsid w:val="00A52BEA"/>
    <w:rsid w:val="00A54F7B"/>
    <w:rsid w:val="00A603B6"/>
    <w:rsid w:val="00A62ADB"/>
    <w:rsid w:val="00A71308"/>
    <w:rsid w:val="00A72989"/>
    <w:rsid w:val="00A872E5"/>
    <w:rsid w:val="00AA38CE"/>
    <w:rsid w:val="00AA5D17"/>
    <w:rsid w:val="00AA61AD"/>
    <w:rsid w:val="00AD02B3"/>
    <w:rsid w:val="00AD6421"/>
    <w:rsid w:val="00AF1F77"/>
    <w:rsid w:val="00AF3A79"/>
    <w:rsid w:val="00AF3F02"/>
    <w:rsid w:val="00B00F4E"/>
    <w:rsid w:val="00B10964"/>
    <w:rsid w:val="00B3301B"/>
    <w:rsid w:val="00B33CB2"/>
    <w:rsid w:val="00B358AA"/>
    <w:rsid w:val="00B45532"/>
    <w:rsid w:val="00B5229B"/>
    <w:rsid w:val="00B55531"/>
    <w:rsid w:val="00B57E2E"/>
    <w:rsid w:val="00B670E0"/>
    <w:rsid w:val="00B75E22"/>
    <w:rsid w:val="00B77D4B"/>
    <w:rsid w:val="00B83505"/>
    <w:rsid w:val="00B86BB7"/>
    <w:rsid w:val="00BA74D2"/>
    <w:rsid w:val="00BB66B1"/>
    <w:rsid w:val="00BB7C0B"/>
    <w:rsid w:val="00BC282D"/>
    <w:rsid w:val="00BC7E2C"/>
    <w:rsid w:val="00BE1B73"/>
    <w:rsid w:val="00BE3425"/>
    <w:rsid w:val="00BE4712"/>
    <w:rsid w:val="00BE4D7D"/>
    <w:rsid w:val="00BE4DE4"/>
    <w:rsid w:val="00BE5E09"/>
    <w:rsid w:val="00BF01DE"/>
    <w:rsid w:val="00C07E48"/>
    <w:rsid w:val="00C10C14"/>
    <w:rsid w:val="00C16527"/>
    <w:rsid w:val="00C176AC"/>
    <w:rsid w:val="00C30B41"/>
    <w:rsid w:val="00C331A6"/>
    <w:rsid w:val="00C41F81"/>
    <w:rsid w:val="00C437BE"/>
    <w:rsid w:val="00C4410B"/>
    <w:rsid w:val="00C4471B"/>
    <w:rsid w:val="00C458CC"/>
    <w:rsid w:val="00C54BFD"/>
    <w:rsid w:val="00C6464E"/>
    <w:rsid w:val="00C703B4"/>
    <w:rsid w:val="00C779AA"/>
    <w:rsid w:val="00C8261E"/>
    <w:rsid w:val="00C95C1D"/>
    <w:rsid w:val="00CA1074"/>
    <w:rsid w:val="00CA7156"/>
    <w:rsid w:val="00CB3B03"/>
    <w:rsid w:val="00CC5952"/>
    <w:rsid w:val="00CC5B72"/>
    <w:rsid w:val="00CD5493"/>
    <w:rsid w:val="00CE062F"/>
    <w:rsid w:val="00CE14B5"/>
    <w:rsid w:val="00CF1BCE"/>
    <w:rsid w:val="00D07091"/>
    <w:rsid w:val="00D107DE"/>
    <w:rsid w:val="00D14B8A"/>
    <w:rsid w:val="00D17CDA"/>
    <w:rsid w:val="00D40724"/>
    <w:rsid w:val="00D4110D"/>
    <w:rsid w:val="00D448F6"/>
    <w:rsid w:val="00D47AD5"/>
    <w:rsid w:val="00D556CD"/>
    <w:rsid w:val="00D55D3A"/>
    <w:rsid w:val="00D64BB7"/>
    <w:rsid w:val="00D70330"/>
    <w:rsid w:val="00D72741"/>
    <w:rsid w:val="00D7358B"/>
    <w:rsid w:val="00D82B68"/>
    <w:rsid w:val="00D90DE4"/>
    <w:rsid w:val="00D92995"/>
    <w:rsid w:val="00DA25EA"/>
    <w:rsid w:val="00DB5D6E"/>
    <w:rsid w:val="00DB6F71"/>
    <w:rsid w:val="00DD3867"/>
    <w:rsid w:val="00DE3B05"/>
    <w:rsid w:val="00E20362"/>
    <w:rsid w:val="00E32586"/>
    <w:rsid w:val="00E36268"/>
    <w:rsid w:val="00E405FE"/>
    <w:rsid w:val="00E44AC7"/>
    <w:rsid w:val="00E44B36"/>
    <w:rsid w:val="00E507C4"/>
    <w:rsid w:val="00E53BF6"/>
    <w:rsid w:val="00E57775"/>
    <w:rsid w:val="00E65991"/>
    <w:rsid w:val="00E812CA"/>
    <w:rsid w:val="00E872A1"/>
    <w:rsid w:val="00E8773A"/>
    <w:rsid w:val="00E90AFD"/>
    <w:rsid w:val="00EA65AD"/>
    <w:rsid w:val="00ED5899"/>
    <w:rsid w:val="00ED67FD"/>
    <w:rsid w:val="00EE06C2"/>
    <w:rsid w:val="00EF162A"/>
    <w:rsid w:val="00EF2D3B"/>
    <w:rsid w:val="00EF4E32"/>
    <w:rsid w:val="00EF606E"/>
    <w:rsid w:val="00EF655B"/>
    <w:rsid w:val="00F0013D"/>
    <w:rsid w:val="00F04F9D"/>
    <w:rsid w:val="00F1280A"/>
    <w:rsid w:val="00F23F5E"/>
    <w:rsid w:val="00F25E90"/>
    <w:rsid w:val="00F26333"/>
    <w:rsid w:val="00F2795D"/>
    <w:rsid w:val="00F34291"/>
    <w:rsid w:val="00F3508B"/>
    <w:rsid w:val="00F43143"/>
    <w:rsid w:val="00F55B5B"/>
    <w:rsid w:val="00F6108F"/>
    <w:rsid w:val="00F62A99"/>
    <w:rsid w:val="00F666F5"/>
    <w:rsid w:val="00F71E3B"/>
    <w:rsid w:val="00F82C33"/>
    <w:rsid w:val="00F905FC"/>
    <w:rsid w:val="00F90CA2"/>
    <w:rsid w:val="00F973CC"/>
    <w:rsid w:val="00F97DB2"/>
    <w:rsid w:val="00FA7F3C"/>
    <w:rsid w:val="00FB1CB0"/>
    <w:rsid w:val="00FB4B45"/>
    <w:rsid w:val="00FD6818"/>
    <w:rsid w:val="00FF6CD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27"/>
    <w:pPr>
      <w:spacing w:line="240" w:lineRule="auto"/>
    </w:pPr>
    <w:rPr>
      <w:rFonts w:ascii="Arial" w:hAnsi="Arial" w:cs="Arial"/>
      <w:sz w:val="20"/>
      <w:szCs w:val="20"/>
    </w:rPr>
  </w:style>
  <w:style w:type="paragraph" w:styleId="Titre1">
    <w:name w:val="heading 1"/>
    <w:basedOn w:val="Normal"/>
    <w:next w:val="Titre2"/>
    <w:link w:val="Titre1Car"/>
    <w:uiPriority w:val="9"/>
    <w:qFormat/>
    <w:rsid w:val="008B5EBF"/>
    <w:pPr>
      <w:keepNext/>
      <w:keepLines/>
      <w:spacing w:before="60" w:after="480"/>
      <w:outlineLvl w:val="0"/>
    </w:pPr>
    <w:rPr>
      <w:rFonts w:eastAsiaTheme="majorEastAsia" w:cstheme="majorBidi"/>
      <w:b/>
      <w:bCs/>
      <w:caps/>
      <w:color w:val="0092BB" w:themeColor="accent1"/>
      <w:spacing w:val="-40"/>
      <w:sz w:val="86"/>
      <w:szCs w:val="28"/>
    </w:rPr>
  </w:style>
  <w:style w:type="paragraph" w:styleId="Titre2">
    <w:name w:val="heading 2"/>
    <w:basedOn w:val="Normal"/>
    <w:next w:val="Normal"/>
    <w:link w:val="Titre2Car"/>
    <w:uiPriority w:val="9"/>
    <w:unhideWhenUsed/>
    <w:qFormat/>
    <w:rsid w:val="0089222B"/>
    <w:pPr>
      <w:keepNext/>
      <w:keepLines/>
      <w:spacing w:before="200"/>
      <w:outlineLvl w:val="1"/>
    </w:pPr>
    <w:rPr>
      <w:rFonts w:eastAsiaTheme="majorEastAsia" w:cstheme="majorBidi"/>
      <w:b/>
      <w:bCs/>
      <w:caps/>
      <w:color w:val="66BED6" w:themeColor="accent2"/>
      <w:sz w:val="28"/>
      <w:szCs w:val="26"/>
    </w:rPr>
  </w:style>
  <w:style w:type="paragraph" w:styleId="Titre3">
    <w:name w:val="heading 3"/>
    <w:basedOn w:val="Normal"/>
    <w:next w:val="Normal"/>
    <w:link w:val="Titre3Car"/>
    <w:uiPriority w:val="9"/>
    <w:unhideWhenUsed/>
    <w:qFormat/>
    <w:rsid w:val="00B75E22"/>
    <w:pPr>
      <w:keepNext/>
      <w:keepLines/>
      <w:spacing w:after="0"/>
      <w:outlineLvl w:val="2"/>
    </w:pPr>
    <w:rPr>
      <w:rFonts w:eastAsiaTheme="majorEastAsia"/>
      <w:bCs/>
      <w:color w:val="0092BB"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75E22"/>
    <w:rPr>
      <w:rFonts w:ascii="Arial" w:eastAsiaTheme="majorEastAsia" w:hAnsi="Arial" w:cs="Arial"/>
      <w:bCs/>
      <w:color w:val="0092BB" w:themeColor="accent1"/>
      <w:sz w:val="20"/>
      <w:szCs w:val="20"/>
    </w:rPr>
  </w:style>
  <w:style w:type="paragraph" w:styleId="Normalcentr">
    <w:name w:val="Block Text"/>
    <w:basedOn w:val="Normal"/>
    <w:uiPriority w:val="99"/>
    <w:semiHidden/>
    <w:unhideWhenUsed/>
    <w:rsid w:val="001A2C75"/>
    <w:pPr>
      <w:pBdr>
        <w:top w:val="single" w:sz="2" w:space="10" w:color="0092BB" w:themeColor="accent1" w:shadow="1" w:frame="1"/>
        <w:left w:val="single" w:sz="2" w:space="10" w:color="0092BB" w:themeColor="accent1" w:shadow="1" w:frame="1"/>
        <w:bottom w:val="single" w:sz="2" w:space="10" w:color="0092BB" w:themeColor="accent1" w:shadow="1" w:frame="1"/>
        <w:right w:val="single" w:sz="2" w:space="10" w:color="0092BB" w:themeColor="accent1" w:shadow="1" w:frame="1"/>
      </w:pBdr>
      <w:ind w:left="1152" w:right="1152"/>
    </w:pPr>
    <w:rPr>
      <w:rFonts w:eastAsiaTheme="minorEastAsia"/>
      <w:i/>
      <w:iCs/>
      <w:color w:val="0092BB" w:themeColor="accent1"/>
    </w:rPr>
  </w:style>
  <w:style w:type="paragraph" w:styleId="Corpsdetexte">
    <w:name w:val="Body Text"/>
    <w:basedOn w:val="Normal"/>
    <w:link w:val="CorpsdetexteCar"/>
    <w:uiPriority w:val="99"/>
    <w:unhideWhenUsed/>
    <w:rsid w:val="001853FD"/>
    <w:pPr>
      <w:spacing w:line="288" w:lineRule="auto"/>
    </w:pPr>
    <w:rPr>
      <w:color w:val="616264"/>
    </w:rPr>
  </w:style>
  <w:style w:type="character" w:customStyle="1" w:styleId="CorpsdetexteCar">
    <w:name w:val="Corps de texte Car"/>
    <w:basedOn w:val="Policepardfaut"/>
    <w:link w:val="Corpsdetexte"/>
    <w:uiPriority w:val="99"/>
    <w:rsid w:val="001853FD"/>
    <w:rPr>
      <w:rFonts w:ascii="Arial" w:hAnsi="Arial" w:cs="Arial"/>
      <w:color w:val="616264"/>
      <w:sz w:val="20"/>
      <w:szCs w:val="20"/>
    </w:rPr>
  </w:style>
  <w:style w:type="character" w:customStyle="1" w:styleId="Titre1Car">
    <w:name w:val="Titre 1 Car"/>
    <w:basedOn w:val="Policepardfaut"/>
    <w:link w:val="Titre1"/>
    <w:uiPriority w:val="9"/>
    <w:rsid w:val="008B5EBF"/>
    <w:rPr>
      <w:rFonts w:ascii="Arial" w:eastAsiaTheme="majorEastAsia" w:hAnsi="Arial" w:cstheme="majorBidi"/>
      <w:b/>
      <w:bCs/>
      <w:caps/>
      <w:color w:val="0092BB" w:themeColor="accent1"/>
      <w:spacing w:val="-40"/>
      <w:sz w:val="86"/>
      <w:szCs w:val="28"/>
    </w:rPr>
  </w:style>
  <w:style w:type="character" w:customStyle="1" w:styleId="Titre2Car">
    <w:name w:val="Titre 2 Car"/>
    <w:basedOn w:val="Policepardfaut"/>
    <w:link w:val="Titre2"/>
    <w:uiPriority w:val="9"/>
    <w:rsid w:val="0089222B"/>
    <w:rPr>
      <w:rFonts w:ascii="Arial" w:eastAsiaTheme="majorEastAsia" w:hAnsi="Arial" w:cstheme="majorBidi"/>
      <w:b/>
      <w:bCs/>
      <w:caps/>
      <w:color w:val="66BED6" w:themeColor="accent2"/>
      <w:sz w:val="28"/>
      <w:szCs w:val="26"/>
    </w:rPr>
  </w:style>
  <w:style w:type="paragraph" w:styleId="Paragraphedeliste">
    <w:name w:val="List Paragraph"/>
    <w:basedOn w:val="Normal"/>
    <w:uiPriority w:val="99"/>
    <w:qFormat/>
    <w:rsid w:val="00175E26"/>
    <w:pPr>
      <w:ind w:left="720"/>
      <w:contextualSpacing/>
    </w:pPr>
  </w:style>
  <w:style w:type="paragraph" w:styleId="Textedebulles">
    <w:name w:val="Balloon Text"/>
    <w:basedOn w:val="Normal"/>
    <w:link w:val="TextedebullesCar"/>
    <w:uiPriority w:val="99"/>
    <w:semiHidden/>
    <w:unhideWhenUsed/>
    <w:rsid w:val="00237EF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37EF9"/>
    <w:rPr>
      <w:rFonts w:ascii="Tahoma" w:hAnsi="Tahoma" w:cs="Tahoma"/>
      <w:color w:val="616264"/>
      <w:sz w:val="16"/>
      <w:szCs w:val="16"/>
    </w:rPr>
  </w:style>
  <w:style w:type="paragraph" w:styleId="En-tte">
    <w:name w:val="header"/>
    <w:basedOn w:val="Normal"/>
    <w:link w:val="En-tteCar"/>
    <w:uiPriority w:val="99"/>
    <w:unhideWhenUsed/>
    <w:rsid w:val="004F7BD5"/>
    <w:pPr>
      <w:tabs>
        <w:tab w:val="center" w:pos="4513"/>
        <w:tab w:val="right" w:pos="9026"/>
      </w:tabs>
      <w:spacing w:after="0"/>
    </w:pPr>
  </w:style>
  <w:style w:type="character" w:customStyle="1" w:styleId="En-tteCar">
    <w:name w:val="En-tête Car"/>
    <w:basedOn w:val="Policepardfaut"/>
    <w:link w:val="En-tte"/>
    <w:uiPriority w:val="99"/>
    <w:rsid w:val="004F7BD5"/>
    <w:rPr>
      <w:rFonts w:ascii="Arial" w:hAnsi="Arial" w:cs="Arial"/>
      <w:color w:val="616264"/>
      <w:sz w:val="20"/>
      <w:szCs w:val="20"/>
    </w:rPr>
  </w:style>
  <w:style w:type="paragraph" w:styleId="Pieddepage">
    <w:name w:val="footer"/>
    <w:basedOn w:val="Normal"/>
    <w:link w:val="PieddepageCar"/>
    <w:uiPriority w:val="99"/>
    <w:unhideWhenUsed/>
    <w:rsid w:val="0089222B"/>
    <w:pPr>
      <w:spacing w:after="0"/>
      <w:jc w:val="right"/>
    </w:pPr>
    <w:rPr>
      <w:color w:val="FFFFFF" w:themeColor="background1"/>
      <w:sz w:val="22"/>
      <w:szCs w:val="22"/>
    </w:rPr>
  </w:style>
  <w:style w:type="character" w:customStyle="1" w:styleId="PieddepageCar">
    <w:name w:val="Pied de page Car"/>
    <w:basedOn w:val="Policepardfaut"/>
    <w:link w:val="Pieddepage"/>
    <w:uiPriority w:val="99"/>
    <w:rsid w:val="0089222B"/>
    <w:rPr>
      <w:rFonts w:ascii="Arial" w:hAnsi="Arial" w:cs="Arial"/>
      <w:color w:val="FFFFFF" w:themeColor="background1"/>
    </w:rPr>
  </w:style>
  <w:style w:type="table" w:styleId="Grilledutableau">
    <w:name w:val="Table Grid"/>
    <w:basedOn w:val="TableauNormal"/>
    <w:uiPriority w:val="59"/>
    <w:rsid w:val="00384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 text Char"/>
    <w:basedOn w:val="Policepardfaut"/>
    <w:link w:val="Tabletext"/>
    <w:rsid w:val="0009004C"/>
    <w:rPr>
      <w:rFonts w:ascii="Arial" w:hAnsi="Arial" w:cs="Arial"/>
      <w:color w:val="616264"/>
      <w:sz w:val="20"/>
      <w:szCs w:val="20"/>
    </w:rPr>
  </w:style>
  <w:style w:type="paragraph" w:customStyle="1" w:styleId="Tabletext">
    <w:name w:val="Table text"/>
    <w:basedOn w:val="Normal"/>
    <w:link w:val="TabletextChar"/>
    <w:qFormat/>
    <w:rsid w:val="0009004C"/>
    <w:pPr>
      <w:spacing w:after="0"/>
      <w:jc w:val="center"/>
    </w:pPr>
    <w:rPr>
      <w:color w:val="616264"/>
    </w:rPr>
  </w:style>
  <w:style w:type="paragraph" w:customStyle="1" w:styleId="TableHeader">
    <w:name w:val="Table Header"/>
    <w:basedOn w:val="Tabletext"/>
    <w:link w:val="TableHeaderChar"/>
    <w:qFormat/>
    <w:rsid w:val="003F68C3"/>
    <w:rPr>
      <w:color w:val="FFFFFF" w:themeColor="background1"/>
      <w:sz w:val="22"/>
    </w:rPr>
  </w:style>
  <w:style w:type="paragraph" w:customStyle="1" w:styleId="Tablefirstcolumn">
    <w:name w:val="Table first column"/>
    <w:link w:val="TablefirstcolumnChar"/>
    <w:qFormat/>
    <w:rsid w:val="003F68C3"/>
    <w:pPr>
      <w:spacing w:after="0" w:line="240" w:lineRule="auto"/>
      <w:jc w:val="center"/>
    </w:pPr>
    <w:rPr>
      <w:rFonts w:ascii="Arial" w:hAnsi="Arial" w:cs="Arial"/>
      <w:color w:val="0393BC"/>
      <w:sz w:val="20"/>
      <w:szCs w:val="20"/>
    </w:rPr>
  </w:style>
  <w:style w:type="character" w:customStyle="1" w:styleId="TableHeaderChar">
    <w:name w:val="Table Header Char"/>
    <w:basedOn w:val="TabletextChar"/>
    <w:link w:val="TableHeader"/>
    <w:rsid w:val="003F68C3"/>
    <w:rPr>
      <w:rFonts w:ascii="Arial" w:hAnsi="Arial" w:cs="Arial"/>
      <w:color w:val="FFFFFF" w:themeColor="background1"/>
      <w:sz w:val="20"/>
      <w:szCs w:val="20"/>
    </w:rPr>
  </w:style>
  <w:style w:type="character" w:customStyle="1" w:styleId="TablefirstcolumnChar">
    <w:name w:val="Table first column Char"/>
    <w:basedOn w:val="TableHeaderChar"/>
    <w:link w:val="Tablefirstcolumn"/>
    <w:rsid w:val="003F68C3"/>
    <w:rPr>
      <w:rFonts w:ascii="Arial" w:hAnsi="Arial" w:cs="Arial"/>
      <w:color w:val="0393BC"/>
      <w:sz w:val="20"/>
      <w:szCs w:val="20"/>
    </w:rPr>
  </w:style>
  <w:style w:type="paragraph" w:styleId="Listenumros">
    <w:name w:val="List Number"/>
    <w:basedOn w:val="Normal"/>
    <w:uiPriority w:val="99"/>
    <w:unhideWhenUsed/>
    <w:rsid w:val="00551227"/>
    <w:pPr>
      <w:numPr>
        <w:numId w:val="13"/>
      </w:numPr>
      <w:tabs>
        <w:tab w:val="clear" w:pos="360"/>
        <w:tab w:val="num" w:pos="426"/>
      </w:tabs>
      <w:ind w:left="426" w:hanging="426"/>
      <w:contextualSpacing/>
    </w:pPr>
    <w:rPr>
      <w:color w:val="939598"/>
    </w:rPr>
  </w:style>
  <w:style w:type="table" w:customStyle="1" w:styleId="ETFTable">
    <w:name w:val="ETF Table"/>
    <w:basedOn w:val="TableauNormal"/>
    <w:uiPriority w:val="99"/>
    <w:qFormat/>
    <w:rsid w:val="00542C57"/>
    <w:pPr>
      <w:spacing w:after="0" w:line="240" w:lineRule="auto"/>
      <w:jc w:val="center"/>
    </w:pPr>
    <w:rPr>
      <w:rFonts w:ascii="Arial" w:hAnsi="Arial"/>
      <w:color w:val="616264"/>
      <w:sz w:val="20"/>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D9D9"/>
      <w:vAlign w:val="center"/>
    </w:tcPr>
    <w:tblStylePr w:type="firstRow">
      <w:rPr>
        <w:rFonts w:ascii="Arial" w:hAnsi="Arial"/>
        <w:b w:val="0"/>
        <w:i w:val="0"/>
        <w:color w:val="FEFEFE"/>
        <w:sz w:val="22"/>
      </w:rPr>
      <w:tblPr/>
      <w:tcPr>
        <w:shd w:val="clear" w:color="auto" w:fill="0092BB" w:themeFill="accent1"/>
      </w:tcPr>
    </w:tblStylePr>
    <w:tblStylePr w:type="firstCol">
      <w:rPr>
        <w:color w:val="0092BB" w:themeColor="accent1"/>
      </w:rPr>
      <w:tblPr/>
      <w:tcPr>
        <w:shd w:val="clear" w:color="auto" w:fill="C9C9C9"/>
      </w:tcPr>
    </w:tblStylePr>
  </w:style>
  <w:style w:type="character" w:styleId="Lienhypertexte">
    <w:name w:val="Hyperlink"/>
    <w:basedOn w:val="Policepardfaut"/>
    <w:uiPriority w:val="99"/>
    <w:unhideWhenUsed/>
    <w:rsid w:val="00DB5D6E"/>
    <w:rPr>
      <w:color w:val="0000FF" w:themeColor="hyperlink"/>
      <w:u w:val="single"/>
    </w:rPr>
  </w:style>
  <w:style w:type="paragraph" w:styleId="Listenumros2">
    <w:name w:val="List Number 2"/>
    <w:basedOn w:val="Normal"/>
    <w:uiPriority w:val="99"/>
    <w:semiHidden/>
    <w:unhideWhenUsed/>
    <w:rsid w:val="00551227"/>
    <w:pPr>
      <w:numPr>
        <w:numId w:val="14"/>
      </w:numPr>
      <w:contextualSpacing/>
    </w:pPr>
    <w:rPr>
      <w:color w:val="939598"/>
    </w:rPr>
  </w:style>
  <w:style w:type="paragraph" w:styleId="Listepuces2">
    <w:name w:val="List Bullet 2"/>
    <w:basedOn w:val="Normal"/>
    <w:uiPriority w:val="99"/>
    <w:semiHidden/>
    <w:unhideWhenUsed/>
    <w:rsid w:val="00551227"/>
    <w:pPr>
      <w:numPr>
        <w:numId w:val="9"/>
      </w:numPr>
      <w:contextualSpacing/>
    </w:pPr>
    <w:rPr>
      <w:color w:val="6D6E71"/>
    </w:rPr>
  </w:style>
  <w:style w:type="paragraph" w:customStyle="1" w:styleId="ETFBodyText">
    <w:name w:val="ETF Body Text"/>
    <w:basedOn w:val="Normal"/>
    <w:link w:val="ETFBodyTextChar"/>
    <w:autoRedefine/>
    <w:rsid w:val="00CA1074"/>
    <w:pPr>
      <w:spacing w:before="60" w:after="60"/>
      <w:ind w:left="34"/>
    </w:pPr>
    <w:rPr>
      <w:rFonts w:eastAsia="Times New Roman" w:cs="Times New Roman"/>
      <w:szCs w:val="16"/>
      <w:lang w:eastAsia="ru-RU"/>
    </w:rPr>
  </w:style>
  <w:style w:type="paragraph" w:customStyle="1" w:styleId="ETFBulletlevel1">
    <w:name w:val="ETF Bullet level 1"/>
    <w:basedOn w:val="ETFBodyText"/>
    <w:next w:val="ETFBodyText"/>
    <w:link w:val="ETFBulletlevel1Char"/>
    <w:rsid w:val="00CA1074"/>
    <w:pPr>
      <w:numPr>
        <w:numId w:val="21"/>
      </w:numPr>
      <w:spacing w:after="140" w:line="259" w:lineRule="auto"/>
    </w:pPr>
  </w:style>
  <w:style w:type="character" w:customStyle="1" w:styleId="ETFBodyTextChar">
    <w:name w:val="ETF Body Text Char"/>
    <w:link w:val="ETFBodyText"/>
    <w:rsid w:val="00CA1074"/>
    <w:rPr>
      <w:rFonts w:ascii="Arial" w:eastAsia="Times New Roman" w:hAnsi="Arial" w:cs="Times New Roman"/>
      <w:sz w:val="20"/>
      <w:szCs w:val="16"/>
      <w:lang w:eastAsia="ru-RU"/>
    </w:rPr>
  </w:style>
  <w:style w:type="character" w:customStyle="1" w:styleId="ETFBulletlevel1Char">
    <w:name w:val="ETF Bullet level 1 Char"/>
    <w:link w:val="ETFBulletlevel1"/>
    <w:rsid w:val="00CA1074"/>
    <w:rPr>
      <w:rFonts w:ascii="Arial" w:eastAsia="Times New Roman" w:hAnsi="Arial" w:cs="Times New Roman"/>
      <w:sz w:val="20"/>
      <w:szCs w:val="16"/>
      <w:lang w:eastAsia="ru-RU"/>
    </w:rPr>
  </w:style>
  <w:style w:type="paragraph" w:styleId="Citation">
    <w:name w:val="Quote"/>
    <w:basedOn w:val="Normal"/>
    <w:next w:val="Normal"/>
    <w:link w:val="CitationCar"/>
    <w:uiPriority w:val="29"/>
    <w:qFormat/>
    <w:rsid w:val="0082168C"/>
    <w:pPr>
      <w:spacing w:before="200" w:after="160"/>
    </w:pPr>
    <w:rPr>
      <w:i/>
      <w:iCs/>
      <w:color w:val="404040" w:themeColor="text1" w:themeTint="BF"/>
    </w:rPr>
  </w:style>
  <w:style w:type="character" w:customStyle="1" w:styleId="CitationCar">
    <w:name w:val="Citation Car"/>
    <w:basedOn w:val="Policepardfaut"/>
    <w:link w:val="Citation"/>
    <w:uiPriority w:val="29"/>
    <w:rsid w:val="0082168C"/>
    <w:rPr>
      <w:rFonts w:ascii="Arial" w:hAnsi="Arial" w:cs="Arial"/>
      <w:i/>
      <w:iCs/>
      <w:color w:val="404040" w:themeColor="text1" w:themeTint="BF"/>
      <w:sz w:val="20"/>
      <w:szCs w:val="20"/>
    </w:rPr>
  </w:style>
  <w:style w:type="character" w:styleId="Marquedecommentaire">
    <w:name w:val="annotation reference"/>
    <w:basedOn w:val="Policepardfaut"/>
    <w:uiPriority w:val="99"/>
    <w:semiHidden/>
    <w:unhideWhenUsed/>
    <w:rsid w:val="003C7911"/>
    <w:rPr>
      <w:sz w:val="16"/>
      <w:szCs w:val="16"/>
    </w:rPr>
  </w:style>
  <w:style w:type="paragraph" w:styleId="Commentaire">
    <w:name w:val="annotation text"/>
    <w:basedOn w:val="Normal"/>
    <w:link w:val="CommentaireCar"/>
    <w:uiPriority w:val="99"/>
    <w:semiHidden/>
    <w:unhideWhenUsed/>
    <w:rsid w:val="003C7911"/>
  </w:style>
  <w:style w:type="character" w:customStyle="1" w:styleId="CommentaireCar">
    <w:name w:val="Commentaire Car"/>
    <w:basedOn w:val="Policepardfaut"/>
    <w:link w:val="Commentaire"/>
    <w:uiPriority w:val="99"/>
    <w:semiHidden/>
    <w:rsid w:val="003C7911"/>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3C7911"/>
    <w:rPr>
      <w:b/>
      <w:bCs/>
    </w:rPr>
  </w:style>
  <w:style w:type="character" w:customStyle="1" w:styleId="ObjetducommentaireCar">
    <w:name w:val="Objet du commentaire Car"/>
    <w:basedOn w:val="CommentaireCar"/>
    <w:link w:val="Objetducommentaire"/>
    <w:uiPriority w:val="99"/>
    <w:semiHidden/>
    <w:rsid w:val="003C7911"/>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342322817">
      <w:bodyDiv w:val="1"/>
      <w:marLeft w:val="0"/>
      <w:marRight w:val="0"/>
      <w:marTop w:val="0"/>
      <w:marBottom w:val="0"/>
      <w:divBdr>
        <w:top w:val="none" w:sz="0" w:space="0" w:color="auto"/>
        <w:left w:val="none" w:sz="0" w:space="0" w:color="auto"/>
        <w:bottom w:val="none" w:sz="0" w:space="0" w:color="auto"/>
        <w:right w:val="none" w:sz="0" w:space="0" w:color="auto"/>
      </w:divBdr>
    </w:div>
    <w:div w:id="349188251">
      <w:bodyDiv w:val="1"/>
      <w:marLeft w:val="0"/>
      <w:marRight w:val="0"/>
      <w:marTop w:val="0"/>
      <w:marBottom w:val="0"/>
      <w:divBdr>
        <w:top w:val="none" w:sz="0" w:space="0" w:color="auto"/>
        <w:left w:val="none" w:sz="0" w:space="0" w:color="auto"/>
        <w:bottom w:val="none" w:sz="0" w:space="0" w:color="auto"/>
        <w:right w:val="none" w:sz="0" w:space="0" w:color="auto"/>
      </w:divBdr>
    </w:div>
    <w:div w:id="485899954">
      <w:bodyDiv w:val="1"/>
      <w:marLeft w:val="0"/>
      <w:marRight w:val="0"/>
      <w:marTop w:val="0"/>
      <w:marBottom w:val="0"/>
      <w:divBdr>
        <w:top w:val="none" w:sz="0" w:space="0" w:color="auto"/>
        <w:left w:val="none" w:sz="0" w:space="0" w:color="auto"/>
        <w:bottom w:val="none" w:sz="0" w:space="0" w:color="auto"/>
        <w:right w:val="none" w:sz="0" w:space="0" w:color="auto"/>
      </w:divBdr>
    </w:div>
    <w:div w:id="654796352">
      <w:bodyDiv w:val="1"/>
      <w:marLeft w:val="0"/>
      <w:marRight w:val="0"/>
      <w:marTop w:val="0"/>
      <w:marBottom w:val="0"/>
      <w:divBdr>
        <w:top w:val="none" w:sz="0" w:space="0" w:color="auto"/>
        <w:left w:val="none" w:sz="0" w:space="0" w:color="auto"/>
        <w:bottom w:val="none" w:sz="0" w:space="0" w:color="auto"/>
        <w:right w:val="none" w:sz="0" w:space="0" w:color="auto"/>
      </w:divBdr>
    </w:div>
    <w:div w:id="800928980">
      <w:bodyDiv w:val="1"/>
      <w:marLeft w:val="0"/>
      <w:marRight w:val="0"/>
      <w:marTop w:val="0"/>
      <w:marBottom w:val="0"/>
      <w:divBdr>
        <w:top w:val="none" w:sz="0" w:space="0" w:color="auto"/>
        <w:left w:val="none" w:sz="0" w:space="0" w:color="auto"/>
        <w:bottom w:val="none" w:sz="0" w:space="0" w:color="auto"/>
        <w:right w:val="none" w:sz="0" w:space="0" w:color="auto"/>
      </w:divBdr>
    </w:div>
    <w:div w:id="876819605">
      <w:bodyDiv w:val="1"/>
      <w:marLeft w:val="0"/>
      <w:marRight w:val="0"/>
      <w:marTop w:val="0"/>
      <w:marBottom w:val="0"/>
      <w:divBdr>
        <w:top w:val="none" w:sz="0" w:space="0" w:color="auto"/>
        <w:left w:val="none" w:sz="0" w:space="0" w:color="auto"/>
        <w:bottom w:val="none" w:sz="0" w:space="0" w:color="auto"/>
        <w:right w:val="none" w:sz="0" w:space="0" w:color="auto"/>
      </w:divBdr>
    </w:div>
    <w:div w:id="1028526506">
      <w:bodyDiv w:val="1"/>
      <w:marLeft w:val="0"/>
      <w:marRight w:val="0"/>
      <w:marTop w:val="0"/>
      <w:marBottom w:val="0"/>
      <w:divBdr>
        <w:top w:val="none" w:sz="0" w:space="0" w:color="auto"/>
        <w:left w:val="none" w:sz="0" w:space="0" w:color="auto"/>
        <w:bottom w:val="none" w:sz="0" w:space="0" w:color="auto"/>
        <w:right w:val="none" w:sz="0" w:space="0" w:color="auto"/>
      </w:divBdr>
    </w:div>
    <w:div w:id="1093553737">
      <w:bodyDiv w:val="1"/>
      <w:marLeft w:val="0"/>
      <w:marRight w:val="0"/>
      <w:marTop w:val="0"/>
      <w:marBottom w:val="0"/>
      <w:divBdr>
        <w:top w:val="none" w:sz="0" w:space="0" w:color="auto"/>
        <w:left w:val="none" w:sz="0" w:space="0" w:color="auto"/>
        <w:bottom w:val="none" w:sz="0" w:space="0" w:color="auto"/>
        <w:right w:val="none" w:sz="0" w:space="0" w:color="auto"/>
      </w:divBdr>
    </w:div>
    <w:div w:id="18143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TF Palette">
      <a:dk1>
        <a:sysClr val="windowText" lastClr="000000"/>
      </a:dk1>
      <a:lt1>
        <a:sysClr val="window" lastClr="FFFFFF"/>
      </a:lt1>
      <a:dk2>
        <a:srgbClr val="1F497D"/>
      </a:dk2>
      <a:lt2>
        <a:srgbClr val="EEECE1"/>
      </a:lt2>
      <a:accent1>
        <a:srgbClr val="0092BB"/>
      </a:accent1>
      <a:accent2>
        <a:srgbClr val="66BED6"/>
      </a:accent2>
      <a:accent3>
        <a:srgbClr val="DC006B"/>
      </a:accent3>
      <a:accent4>
        <a:srgbClr val="0092BB"/>
      </a:accent4>
      <a:accent5>
        <a:srgbClr val="94C2D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C8133-F6E6-4890-B557-66C1B6F9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2754</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Stanley</dc:creator>
  <cp:lastModifiedBy>lotfi belkacem</cp:lastModifiedBy>
  <cp:revision>4</cp:revision>
  <cp:lastPrinted>2019-03-04T17:27:00Z</cp:lastPrinted>
  <dcterms:created xsi:type="dcterms:W3CDTF">2019-03-04T17:23:00Z</dcterms:created>
  <dcterms:modified xsi:type="dcterms:W3CDTF">2019-03-04T17:29:00Z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gnoff">
    <vt:lpwstr/>
  </property>
  <property fmtid="{D5CDD505-2E9C-101B-9397-08002B2CF9AE}" pid="3" name="DocEventName">
    <vt:lpwstr>National Workshop</vt:lpwstr>
  </property>
  <property fmtid="{D5CDD505-2E9C-101B-9397-08002B2CF9AE}" pid="4" name="DocLocation">
    <vt:lpwstr>VArious</vt:lpwstr>
  </property>
  <property fmtid="{D5CDD505-2E9C-101B-9397-08002B2CF9AE}" pid="5" name="DocDateRange">
    <vt:lpwstr>autumn 2015</vt:lpwstr>
  </property>
  <property fmtid="{D5CDD505-2E9C-101B-9397-08002B2CF9AE}" pid="6" name="DocPath">
    <vt:lpwstr>\\archimedes\apps\comapps\client applications\etf templates\ETF Agenda.dotx</vt:lpwstr>
  </property>
  <property fmtid="{D5CDD505-2E9C-101B-9397-08002B2CF9AE}" pid="7" name="DocType">
    <vt:lpwstr>ETF</vt:lpwstr>
  </property>
  <property fmtid="{D5CDD505-2E9C-101B-9397-08002B2CF9AE}" pid="8" name="InitialTemplateVersion">
    <vt:lpwstr>2.0</vt:lpwstr>
  </property>
  <property fmtid="{D5CDD505-2E9C-101B-9397-08002B2CF9AE}" pid="9" name="CurrentTemplateVersion">
    <vt:lpwstr>2.0</vt:lpwstr>
  </property>
  <property fmtid="{D5CDD505-2E9C-101B-9397-08002B2CF9AE}" pid="10" name="DocTemplateName">
    <vt:lpwstr>ETF Agenda.dotx</vt:lpwstr>
  </property>
  <property fmtid="{D5CDD505-2E9C-101B-9397-08002B2CF9AE}" pid="11" name="OfficeEmail">
    <vt:lpwstr>firstname.lastname@fgould.com</vt:lpwstr>
  </property>
</Properties>
</file>