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FD" w:rsidRDefault="00E90AFD" w:rsidP="004C1472"/>
    <w:p w:rsidR="004C1472" w:rsidRDefault="004C1472" w:rsidP="004C1472"/>
    <w:p w:rsidR="004C1472" w:rsidRDefault="004C1472" w:rsidP="004C1472"/>
    <w:p w:rsidR="004C1472" w:rsidRDefault="004C1472" w:rsidP="004C1472"/>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048"/>
        <w:gridCol w:w="4615"/>
      </w:tblGrid>
      <w:tr w:rsidR="00E90AFD" w:rsidTr="00E90AFD">
        <w:trPr>
          <w:trHeight w:val="397"/>
        </w:trPr>
        <w:tc>
          <w:tcPr>
            <w:tcW w:w="2048" w:type="dxa"/>
            <w:shd w:val="clear" w:color="auto" w:fill="auto"/>
          </w:tcPr>
          <w:p w:rsidR="00E90AFD" w:rsidRPr="00542C57" w:rsidRDefault="0077204E" w:rsidP="00E90AFD">
            <w:pPr>
              <w:pStyle w:val="Corpsdetexte"/>
              <w:rPr>
                <w:color w:val="0092BB" w:themeColor="accent1"/>
              </w:rPr>
            </w:pPr>
            <w:r>
              <w:rPr>
                <w:color w:val="0092BB" w:themeColor="accent1"/>
              </w:rPr>
              <w:t>EVENT</w:t>
            </w:r>
            <w:r w:rsidR="00040787">
              <w:rPr>
                <w:color w:val="0092BB" w:themeColor="accent1"/>
              </w:rPr>
              <w:t xml:space="preserve"> NAME</w:t>
            </w:r>
          </w:p>
        </w:tc>
        <w:tc>
          <w:tcPr>
            <w:tcW w:w="4615" w:type="dxa"/>
            <w:shd w:val="clear" w:color="auto" w:fill="auto"/>
          </w:tcPr>
          <w:p w:rsidR="00E90AFD" w:rsidRDefault="00971563" w:rsidP="009417F6">
            <w:pPr>
              <w:pStyle w:val="Corpsdetexte"/>
            </w:pPr>
            <w:r>
              <w:t xml:space="preserve">Listening to vocational </w:t>
            </w:r>
            <w:r w:rsidR="00C8261E">
              <w:t>teachers</w:t>
            </w:r>
            <w:r w:rsidR="00D72741">
              <w:t xml:space="preserve"> and principals</w:t>
            </w:r>
            <w:r w:rsidR="00C8261E">
              <w:t xml:space="preserve"> in </w:t>
            </w:r>
            <w:r w:rsidR="009417F6">
              <w:t xml:space="preserve">Tunisia </w:t>
            </w:r>
          </w:p>
        </w:tc>
      </w:tr>
      <w:tr w:rsidR="00E90AFD" w:rsidRPr="00CF6937" w:rsidTr="00E90AFD">
        <w:trPr>
          <w:trHeight w:val="397"/>
        </w:trPr>
        <w:tc>
          <w:tcPr>
            <w:tcW w:w="2048" w:type="dxa"/>
            <w:shd w:val="clear" w:color="auto" w:fill="auto"/>
          </w:tcPr>
          <w:p w:rsidR="00E90AFD" w:rsidRPr="00542C57" w:rsidRDefault="004C0BDE" w:rsidP="00E90AFD">
            <w:pPr>
              <w:pStyle w:val="Corpsdetexte"/>
              <w:rPr>
                <w:color w:val="0092BB" w:themeColor="accent1"/>
              </w:rPr>
            </w:pPr>
            <w:r>
              <w:rPr>
                <w:color w:val="0092BB" w:themeColor="accent1"/>
              </w:rPr>
              <w:t>LOCATION</w:t>
            </w:r>
          </w:p>
        </w:tc>
        <w:tc>
          <w:tcPr>
            <w:tcW w:w="4615" w:type="dxa"/>
            <w:shd w:val="clear" w:color="auto" w:fill="auto"/>
          </w:tcPr>
          <w:p w:rsidR="00E90AFD" w:rsidRPr="00912964" w:rsidRDefault="00912964" w:rsidP="004C0BDE">
            <w:pPr>
              <w:pStyle w:val="Corpsdetexte"/>
              <w:rPr>
                <w:lang w:val="fr-FR"/>
              </w:rPr>
            </w:pPr>
            <w:r w:rsidRPr="00253681">
              <w:rPr>
                <w:lang w:val="fr-FR"/>
              </w:rPr>
              <w:t>CENAFFIF, 6,</w:t>
            </w:r>
            <w:r w:rsidR="00914F63">
              <w:rPr>
                <w:lang w:val="fr-FR"/>
              </w:rPr>
              <w:t xml:space="preserve"> </w:t>
            </w:r>
            <w:r w:rsidRPr="00253681">
              <w:rPr>
                <w:lang w:val="fr-FR"/>
              </w:rPr>
              <w:t>rue de France RADES, TUNISIE</w:t>
            </w:r>
          </w:p>
        </w:tc>
      </w:tr>
      <w:tr w:rsidR="00E90AFD" w:rsidTr="00E90AFD">
        <w:trPr>
          <w:trHeight w:val="397"/>
        </w:trPr>
        <w:tc>
          <w:tcPr>
            <w:tcW w:w="2048" w:type="dxa"/>
            <w:shd w:val="clear" w:color="auto" w:fill="auto"/>
          </w:tcPr>
          <w:p w:rsidR="00E90AFD" w:rsidRPr="00542C57" w:rsidRDefault="004C0BDE" w:rsidP="004C0BDE">
            <w:pPr>
              <w:pStyle w:val="Corpsdetexte"/>
              <w:rPr>
                <w:color w:val="0092BB" w:themeColor="accent1"/>
              </w:rPr>
            </w:pPr>
            <w:r>
              <w:rPr>
                <w:color w:val="0092BB" w:themeColor="accent1"/>
              </w:rPr>
              <w:t>DATE(S)</w:t>
            </w:r>
          </w:p>
        </w:tc>
        <w:tc>
          <w:tcPr>
            <w:tcW w:w="4615" w:type="dxa"/>
            <w:shd w:val="clear" w:color="auto" w:fill="auto"/>
          </w:tcPr>
          <w:p w:rsidR="00E90AFD" w:rsidRDefault="009417F6" w:rsidP="009417F6">
            <w:pPr>
              <w:pStyle w:val="Corpsdetexte"/>
            </w:pPr>
            <w:r>
              <w:t>19</w:t>
            </w:r>
            <w:r w:rsidR="00161963" w:rsidRPr="00161963">
              <w:rPr>
                <w:vertAlign w:val="superscript"/>
              </w:rPr>
              <w:t>th</w:t>
            </w:r>
            <w:r>
              <w:t>March 2019</w:t>
            </w:r>
          </w:p>
        </w:tc>
      </w:tr>
      <w:tr w:rsidR="00E90AFD" w:rsidTr="00E90AFD">
        <w:trPr>
          <w:trHeight w:val="397"/>
        </w:trPr>
        <w:tc>
          <w:tcPr>
            <w:tcW w:w="2048" w:type="dxa"/>
            <w:shd w:val="clear" w:color="auto" w:fill="auto"/>
          </w:tcPr>
          <w:p w:rsidR="00E90AFD" w:rsidRPr="00542C57" w:rsidRDefault="00E90AFD" w:rsidP="00E90AFD">
            <w:pPr>
              <w:pStyle w:val="Corpsdetexte"/>
              <w:rPr>
                <w:color w:val="0092BB" w:themeColor="accent1"/>
              </w:rPr>
            </w:pPr>
          </w:p>
        </w:tc>
        <w:tc>
          <w:tcPr>
            <w:tcW w:w="4615" w:type="dxa"/>
            <w:shd w:val="clear" w:color="auto" w:fill="auto"/>
          </w:tcPr>
          <w:p w:rsidR="00E90AFD" w:rsidRDefault="00E90AFD" w:rsidP="00E90AFD">
            <w:pPr>
              <w:pStyle w:val="Corpsdetexte"/>
            </w:pPr>
          </w:p>
        </w:tc>
      </w:tr>
      <w:tr w:rsidR="00E90AFD" w:rsidTr="00E90AFD">
        <w:trPr>
          <w:trHeight w:val="397"/>
        </w:trPr>
        <w:tc>
          <w:tcPr>
            <w:tcW w:w="2048" w:type="dxa"/>
            <w:shd w:val="clear" w:color="auto" w:fill="auto"/>
          </w:tcPr>
          <w:p w:rsidR="00E90AFD" w:rsidRPr="00542C57" w:rsidRDefault="00E90AFD" w:rsidP="00E90AFD">
            <w:pPr>
              <w:pStyle w:val="Corpsdetexte"/>
              <w:rPr>
                <w:color w:val="0092BB" w:themeColor="accent1"/>
              </w:rPr>
            </w:pPr>
          </w:p>
        </w:tc>
        <w:tc>
          <w:tcPr>
            <w:tcW w:w="4615" w:type="dxa"/>
            <w:shd w:val="clear" w:color="auto" w:fill="auto"/>
          </w:tcPr>
          <w:p w:rsidR="00E90AFD" w:rsidRDefault="00E90AFD" w:rsidP="00E90AFD">
            <w:pPr>
              <w:pStyle w:val="Corpsdetexte"/>
            </w:pPr>
          </w:p>
        </w:tc>
      </w:tr>
    </w:tbl>
    <w:p w:rsidR="00DB5D6E" w:rsidRDefault="00DB5D6E" w:rsidP="00DB5D6E">
      <w:pPr>
        <w:pStyle w:val="Corpsdetexte"/>
      </w:pPr>
    </w:p>
    <w:p w:rsidR="0077204E" w:rsidRDefault="0077204E" w:rsidP="00040787">
      <w:pPr>
        <w:pStyle w:val="Titre3"/>
      </w:pPr>
    </w:p>
    <w:p w:rsidR="00754E6B" w:rsidRDefault="00754E6B" w:rsidP="00040787">
      <w:pPr>
        <w:pStyle w:val="Corpsdetexte"/>
        <w:rPr>
          <w:b/>
          <w:color w:val="66BED6" w:themeColor="accent2"/>
          <w:sz w:val="28"/>
          <w:szCs w:val="28"/>
        </w:rPr>
      </w:pPr>
    </w:p>
    <w:p w:rsidR="00D448F6" w:rsidRDefault="0077204E" w:rsidP="00040787">
      <w:pPr>
        <w:pStyle w:val="Corpsdetexte"/>
        <w:rPr>
          <w:b/>
          <w:color w:val="66BED6" w:themeColor="accent2"/>
          <w:sz w:val="28"/>
          <w:szCs w:val="28"/>
        </w:rPr>
      </w:pPr>
      <w:r w:rsidRPr="0077204E">
        <w:rPr>
          <w:b/>
          <w:color w:val="66BED6" w:themeColor="accent2"/>
          <w:sz w:val="28"/>
          <w:szCs w:val="28"/>
        </w:rPr>
        <w:t>S</w:t>
      </w:r>
      <w:r>
        <w:rPr>
          <w:b/>
          <w:color w:val="66BED6" w:themeColor="accent2"/>
          <w:sz w:val="28"/>
          <w:szCs w:val="28"/>
        </w:rPr>
        <w:t>UMMARY</w:t>
      </w:r>
    </w:p>
    <w:p w:rsidR="00A131EC" w:rsidRDefault="00C8261E" w:rsidP="003C42DB">
      <w:pPr>
        <w:pStyle w:val="Corpsdetexte"/>
      </w:pPr>
      <w:r>
        <w:t xml:space="preserve">This </w:t>
      </w:r>
      <w:r w:rsidR="006A1ACD">
        <w:t>one</w:t>
      </w:r>
      <w:r w:rsidR="00764539">
        <w:t>-</w:t>
      </w:r>
      <w:r w:rsidR="00D448F6">
        <w:t xml:space="preserve">day </w:t>
      </w:r>
      <w:r>
        <w:t>national workshop provides an opportunity to reflect on the findings of new research</w:t>
      </w:r>
      <w:r w:rsidR="00D448F6">
        <w:t xml:space="preserve"> carried out by</w:t>
      </w:r>
      <w:r w:rsidR="006A1ACD">
        <w:t xml:space="preserve"> the </w:t>
      </w:r>
      <w:r w:rsidR="00A131EC">
        <w:t>ETF in partnership with the</w:t>
      </w:r>
      <w:r w:rsidR="003C42DB">
        <w:t xml:space="preserve"> </w:t>
      </w:r>
      <w:r w:rsidR="009417F6">
        <w:t>Ministère de la Formation Professionnelle et de l’Emploi</w:t>
      </w:r>
      <w:r w:rsidR="00161963">
        <w:t xml:space="preserve">. </w:t>
      </w:r>
      <w:r w:rsidR="00971563">
        <w:t>This rese</w:t>
      </w:r>
      <w:r w:rsidR="009417F6">
        <w:t xml:space="preserve">arch invited </w:t>
      </w:r>
      <w:r w:rsidR="003C42DB">
        <w:t>Tunisian</w:t>
      </w:r>
      <w:r w:rsidR="009417F6">
        <w:t xml:space="preserve"> trainers</w:t>
      </w:r>
      <w:r w:rsidR="00351D9C">
        <w:t xml:space="preserve"> and Directors of training centres </w:t>
      </w:r>
      <w:r w:rsidR="00971563">
        <w:t>to share their views about their work. The research draws upon the v</w:t>
      </w:r>
      <w:r w:rsidR="003756EE">
        <w:t xml:space="preserve">iews of </w:t>
      </w:r>
      <w:r w:rsidR="009417F6">
        <w:t>386 trainers and 117 t</w:t>
      </w:r>
      <w:r w:rsidR="00351D9C">
        <w:t xml:space="preserve">raining centre directors working in </w:t>
      </w:r>
      <w:r w:rsidR="009417F6">
        <w:t>179 training centres in Tunisia, interviews with 9</w:t>
      </w:r>
      <w:r w:rsidR="00A131EC">
        <w:t xml:space="preserve"> stakeholders and a literature review. The research </w:t>
      </w:r>
      <w:r w:rsidR="00351D9C">
        <w:t xml:space="preserve">report </w:t>
      </w:r>
      <w:r w:rsidR="00A131EC">
        <w:t xml:space="preserve">reviews the state of policy development </w:t>
      </w:r>
      <w:r w:rsidR="00161963">
        <w:t xml:space="preserve">and </w:t>
      </w:r>
      <w:r w:rsidR="003C42DB">
        <w:t xml:space="preserve">provision with respect </w:t>
      </w:r>
      <w:r w:rsidR="003C42DB" w:rsidRPr="009417F6">
        <w:rPr>
          <w:i/>
        </w:rPr>
        <w:t xml:space="preserve">to </w:t>
      </w:r>
      <w:r w:rsidR="003C42DB" w:rsidRPr="00841B84">
        <w:rPr>
          <w:i/>
          <w:lang w:val="en-US"/>
        </w:rPr>
        <w:t xml:space="preserve">formation professionelle continues pour les </w:t>
      </w:r>
      <w:r w:rsidR="009417F6" w:rsidRPr="00841B84">
        <w:rPr>
          <w:i/>
          <w:lang w:val="en-US"/>
        </w:rPr>
        <w:t>formateurs</w:t>
      </w:r>
      <w:r w:rsidR="003C42DB" w:rsidRPr="00841B84">
        <w:rPr>
          <w:i/>
          <w:lang w:val="en-US"/>
        </w:rPr>
        <w:t xml:space="preserve"> professionnels</w:t>
      </w:r>
      <w:r w:rsidR="009417F6">
        <w:t xml:space="preserve"> in Tunisia</w:t>
      </w:r>
      <w:r w:rsidR="00971563">
        <w:t>.  T</w:t>
      </w:r>
      <w:r w:rsidR="00161963">
        <w:t>he research offers insight into modes of teaching, school leadership, links with business and workforce satisfaction.</w:t>
      </w:r>
    </w:p>
    <w:p w:rsidR="00A131EC" w:rsidRDefault="00A131EC" w:rsidP="00A131EC">
      <w:pPr>
        <w:pStyle w:val="Corpsdetexte"/>
      </w:pPr>
      <w:r>
        <w:t>The report provides conclusions and recommendations to support policy implementation. The workshop will critically evaluate recommendations and build agreement on ways forward.</w:t>
      </w:r>
    </w:p>
    <w:p w:rsidR="00B358AA" w:rsidRDefault="00161963" w:rsidP="00040787">
      <w:pPr>
        <w:pStyle w:val="Corpsdetexte"/>
      </w:pPr>
      <w:r>
        <w:t>T</w:t>
      </w:r>
      <w:r w:rsidR="00B358AA">
        <w:t xml:space="preserve">he workshop will provide an opportunity to help shape the ongoing action to support the development of </w:t>
      </w:r>
      <w:r w:rsidR="0059632F" w:rsidRPr="009417F6">
        <w:rPr>
          <w:i/>
        </w:rPr>
        <w:t xml:space="preserve">formation </w:t>
      </w:r>
      <w:r w:rsidR="003C42DB" w:rsidRPr="00841B84">
        <w:rPr>
          <w:i/>
          <w:lang w:val="en-US"/>
        </w:rPr>
        <w:t>professionnelle</w:t>
      </w:r>
      <w:r w:rsidR="0059632F" w:rsidRPr="00841B84">
        <w:rPr>
          <w:i/>
          <w:lang w:val="en-US"/>
        </w:rPr>
        <w:t xml:space="preserve"> continue</w:t>
      </w:r>
      <w:r w:rsidR="003C42DB">
        <w:rPr>
          <w:i/>
        </w:rPr>
        <w:t xml:space="preserve"> </w:t>
      </w:r>
      <w:r w:rsidR="0059632F" w:rsidRPr="009417F6">
        <w:rPr>
          <w:i/>
        </w:rPr>
        <w:t xml:space="preserve">for </w:t>
      </w:r>
      <w:r w:rsidR="0059632F" w:rsidRPr="00841B84">
        <w:rPr>
          <w:i/>
          <w:lang w:val="en-US"/>
        </w:rPr>
        <w:t>formateurs</w:t>
      </w:r>
      <w:r w:rsidR="003C42DB" w:rsidRPr="00841B84">
        <w:rPr>
          <w:i/>
          <w:lang w:val="en-US"/>
        </w:rPr>
        <w:t xml:space="preserve"> professionnels</w:t>
      </w:r>
      <w:r w:rsidR="003C42DB">
        <w:rPr>
          <w:i/>
        </w:rPr>
        <w:t xml:space="preserve"> </w:t>
      </w:r>
      <w:r w:rsidR="00B358AA">
        <w:t>over the next two years.</w:t>
      </w:r>
    </w:p>
    <w:p w:rsidR="001945E3" w:rsidRDefault="001945E3" w:rsidP="00040787">
      <w:pPr>
        <w:pStyle w:val="Corpsdetexte"/>
      </w:pPr>
      <w:r>
        <w:t>The workshop will be of interest to policy makers and practitioners (from both the public and private sector) con</w:t>
      </w:r>
      <w:r w:rsidR="00161963">
        <w:t xml:space="preserve">cerned about vocational teachers and teaching </w:t>
      </w:r>
      <w:r w:rsidR="0059632F">
        <w:t>in Tunisia</w:t>
      </w:r>
      <w:r>
        <w:t>.</w:t>
      </w:r>
    </w:p>
    <w:p w:rsidR="003756EE" w:rsidRDefault="003756EE" w:rsidP="00040787">
      <w:pPr>
        <w:pStyle w:val="Corpsdetexte"/>
      </w:pPr>
      <w:r>
        <w:t>The workshop will be conducted</w:t>
      </w:r>
      <w:r w:rsidR="0059632F">
        <w:t xml:space="preserve"> in both French</w:t>
      </w:r>
      <w:r>
        <w:t xml:space="preserve"> and English.</w:t>
      </w:r>
    </w:p>
    <w:p w:rsidR="00D448F6" w:rsidRPr="00D448F6" w:rsidRDefault="00D448F6" w:rsidP="00040787">
      <w:pPr>
        <w:pStyle w:val="Corpsdetexte"/>
        <w:rPr>
          <w:b/>
          <w:color w:val="66BED6" w:themeColor="accent2"/>
          <w:sz w:val="28"/>
          <w:szCs w:val="28"/>
        </w:rPr>
      </w:pPr>
    </w:p>
    <w:p w:rsidR="0077204E" w:rsidRDefault="0077204E">
      <w:pPr>
        <w:spacing w:line="276" w:lineRule="auto"/>
        <w:rPr>
          <w:color w:val="616264"/>
        </w:rPr>
      </w:pPr>
    </w:p>
    <w:p w:rsidR="00CA1074" w:rsidRDefault="0059632F" w:rsidP="00CA1074">
      <w:pPr>
        <w:pStyle w:val="Corpsdetexte"/>
        <w:rPr>
          <w:b/>
          <w:color w:val="66BED6" w:themeColor="accent2"/>
          <w:sz w:val="28"/>
          <w:szCs w:val="28"/>
        </w:rPr>
      </w:pPr>
      <w:r>
        <w:rPr>
          <w:b/>
          <w:color w:val="66BED6" w:themeColor="accent2"/>
          <w:sz w:val="28"/>
          <w:szCs w:val="28"/>
        </w:rPr>
        <w:t>Tuesday</w:t>
      </w:r>
      <w:r w:rsidR="00CA1074" w:rsidRPr="00AF1F77">
        <w:rPr>
          <w:b/>
          <w:color w:val="66BED6" w:themeColor="accent2"/>
          <w:sz w:val="28"/>
          <w:szCs w:val="28"/>
        </w:rPr>
        <w:t xml:space="preserve">, </w:t>
      </w:r>
      <w:r>
        <w:rPr>
          <w:b/>
          <w:color w:val="66BED6" w:themeColor="accent2"/>
          <w:sz w:val="28"/>
          <w:szCs w:val="28"/>
        </w:rPr>
        <w:t>19</w:t>
      </w:r>
      <w:r w:rsidR="00CA1074" w:rsidRPr="00AF1F77">
        <w:rPr>
          <w:b/>
          <w:color w:val="66BED6" w:themeColor="accent2"/>
          <w:sz w:val="28"/>
          <w:szCs w:val="28"/>
        </w:rPr>
        <w:t xml:space="preserve">th </w:t>
      </w:r>
      <w:r>
        <w:rPr>
          <w:b/>
          <w:color w:val="66BED6" w:themeColor="accent2"/>
          <w:sz w:val="28"/>
          <w:szCs w:val="28"/>
        </w:rPr>
        <w:t>March 2019</w:t>
      </w:r>
    </w:p>
    <w:p w:rsidR="00CF6937" w:rsidRDefault="00CF6937" w:rsidP="00CA1074">
      <w:pPr>
        <w:pStyle w:val="Corpsdetexte"/>
        <w:rPr>
          <w:b/>
          <w:color w:val="66BED6" w:themeColor="accent2"/>
          <w:sz w:val="28"/>
          <w:szCs w:val="28"/>
        </w:rPr>
      </w:pPr>
    </w:p>
    <w:tbl>
      <w:tblPr>
        <w:tblStyle w:val="Grilledutableau"/>
        <w:tblW w:w="0" w:type="auto"/>
        <w:tblBorders>
          <w:top w:val="none" w:sz="0" w:space="0" w:color="auto"/>
          <w:left w:val="none" w:sz="0" w:space="0" w:color="auto"/>
          <w:right w:val="none" w:sz="0" w:space="0" w:color="auto"/>
        </w:tblBorders>
        <w:tblLook w:val="04A0"/>
      </w:tblPr>
      <w:tblGrid>
        <w:gridCol w:w="1913"/>
        <w:gridCol w:w="7159"/>
      </w:tblGrid>
      <w:tr w:rsidR="00A131EC" w:rsidTr="00A131EC">
        <w:tc>
          <w:tcPr>
            <w:tcW w:w="1913" w:type="dxa"/>
            <w:vAlign w:val="center"/>
          </w:tcPr>
          <w:p w:rsidR="004B5928" w:rsidRPr="00351D9C" w:rsidRDefault="004B5928" w:rsidP="00A131EC">
            <w:pPr>
              <w:pStyle w:val="ETFBodyText"/>
              <w:rPr>
                <w:rFonts w:cs="Arial"/>
                <w:sz w:val="22"/>
                <w:szCs w:val="22"/>
              </w:rPr>
            </w:pPr>
          </w:p>
          <w:p w:rsidR="00A131EC" w:rsidRPr="00351D9C" w:rsidRDefault="0059632F" w:rsidP="00A131EC">
            <w:pPr>
              <w:pStyle w:val="ETFBodyText"/>
              <w:rPr>
                <w:rFonts w:cs="Arial"/>
                <w:sz w:val="22"/>
                <w:szCs w:val="22"/>
              </w:rPr>
            </w:pPr>
            <w:r w:rsidRPr="00351D9C">
              <w:rPr>
                <w:rFonts w:cs="Arial"/>
                <w:sz w:val="22"/>
                <w:szCs w:val="22"/>
              </w:rPr>
              <w:t>8.30 - 9</w:t>
            </w:r>
            <w:r w:rsidR="001A33C0" w:rsidRPr="00351D9C">
              <w:rPr>
                <w:rFonts w:cs="Arial"/>
                <w:sz w:val="22"/>
                <w:szCs w:val="22"/>
              </w:rPr>
              <w:t>.00</w:t>
            </w:r>
          </w:p>
        </w:tc>
        <w:tc>
          <w:tcPr>
            <w:tcW w:w="7159" w:type="dxa"/>
            <w:vAlign w:val="center"/>
          </w:tcPr>
          <w:p w:rsidR="006022EC" w:rsidRPr="00351D9C" w:rsidRDefault="006022EC" w:rsidP="00D17CDA">
            <w:pPr>
              <w:pStyle w:val="ETFBulletlevel1"/>
              <w:numPr>
                <w:ilvl w:val="0"/>
                <w:numId w:val="0"/>
              </w:numPr>
              <w:rPr>
                <w:rFonts w:cs="Arial"/>
                <w:sz w:val="22"/>
                <w:szCs w:val="22"/>
              </w:rPr>
            </w:pPr>
          </w:p>
          <w:p w:rsidR="00A131EC" w:rsidRPr="00351D9C" w:rsidRDefault="00A131EC" w:rsidP="00D17CDA">
            <w:pPr>
              <w:pStyle w:val="ETFBulletlevel1"/>
              <w:numPr>
                <w:ilvl w:val="0"/>
                <w:numId w:val="0"/>
              </w:numPr>
              <w:rPr>
                <w:rFonts w:cs="Arial"/>
                <w:sz w:val="22"/>
                <w:szCs w:val="22"/>
              </w:rPr>
            </w:pPr>
            <w:r w:rsidRPr="00351D9C">
              <w:rPr>
                <w:rFonts w:cs="Arial"/>
                <w:sz w:val="22"/>
                <w:szCs w:val="22"/>
              </w:rPr>
              <w:t>Arrival and registration</w:t>
            </w:r>
            <w:r w:rsidR="00710EBF">
              <w:rPr>
                <w:rFonts w:cs="Arial"/>
                <w:sz w:val="22"/>
                <w:szCs w:val="22"/>
              </w:rPr>
              <w:t xml:space="preserve"> </w:t>
            </w:r>
            <w:r w:rsidR="00764539" w:rsidRPr="00351D9C">
              <w:rPr>
                <w:rFonts w:cs="Arial"/>
                <w:sz w:val="22"/>
                <w:szCs w:val="22"/>
              </w:rPr>
              <w:t>&amp; refreshments</w:t>
            </w:r>
          </w:p>
        </w:tc>
      </w:tr>
      <w:tr w:rsidR="00A131EC" w:rsidRPr="00CF6937" w:rsidTr="00A131EC">
        <w:tc>
          <w:tcPr>
            <w:tcW w:w="1913" w:type="dxa"/>
            <w:vAlign w:val="center"/>
          </w:tcPr>
          <w:p w:rsidR="00A131EC" w:rsidRPr="00351D9C" w:rsidRDefault="0059632F" w:rsidP="00A131EC">
            <w:pPr>
              <w:pStyle w:val="ETFBodyText"/>
              <w:rPr>
                <w:rFonts w:cs="Arial"/>
                <w:sz w:val="22"/>
                <w:szCs w:val="22"/>
              </w:rPr>
            </w:pPr>
            <w:r w:rsidRPr="00351D9C">
              <w:rPr>
                <w:rFonts w:cs="Arial"/>
                <w:sz w:val="22"/>
                <w:szCs w:val="22"/>
              </w:rPr>
              <w:t>9.00 – 9</w:t>
            </w:r>
            <w:r w:rsidR="004B5928" w:rsidRPr="00351D9C">
              <w:rPr>
                <w:rFonts w:cs="Arial"/>
                <w:sz w:val="22"/>
                <w:szCs w:val="22"/>
              </w:rPr>
              <w:t>.10</w:t>
            </w:r>
          </w:p>
        </w:tc>
        <w:tc>
          <w:tcPr>
            <w:tcW w:w="7159" w:type="dxa"/>
            <w:vAlign w:val="center"/>
          </w:tcPr>
          <w:p w:rsidR="00A131EC" w:rsidRPr="00841B84" w:rsidRDefault="00841B84" w:rsidP="00912964">
            <w:pPr>
              <w:pStyle w:val="ETFBulletlevel1"/>
              <w:numPr>
                <w:ilvl w:val="0"/>
                <w:numId w:val="0"/>
              </w:numPr>
              <w:rPr>
                <w:rFonts w:cs="Arial"/>
                <w:sz w:val="22"/>
                <w:szCs w:val="22"/>
                <w:lang w:val="fr-FR"/>
              </w:rPr>
            </w:pPr>
            <w:r w:rsidRPr="00841B84">
              <w:rPr>
                <w:rFonts w:cs="Arial"/>
                <w:sz w:val="22"/>
                <w:szCs w:val="22"/>
                <w:lang w:val="fr-FR"/>
              </w:rPr>
              <w:t xml:space="preserve">Introduction et bienvenue: </w:t>
            </w:r>
            <w:r w:rsidR="00CF6937">
              <w:rPr>
                <w:rFonts w:cs="Arial"/>
                <w:sz w:val="22"/>
                <w:szCs w:val="22"/>
                <w:lang w:val="fr-FR"/>
              </w:rPr>
              <w:t xml:space="preserve">M. </w:t>
            </w:r>
            <w:r w:rsidR="00912964">
              <w:rPr>
                <w:rFonts w:cs="Arial"/>
                <w:sz w:val="22"/>
                <w:szCs w:val="22"/>
                <w:lang w:val="fr-FR"/>
              </w:rPr>
              <w:t xml:space="preserve">Mounir Dakhli, Directeur, </w:t>
            </w:r>
            <w:r w:rsidRPr="00841B84">
              <w:rPr>
                <w:rFonts w:cs="Arial"/>
                <w:sz w:val="22"/>
                <w:szCs w:val="22"/>
                <w:lang w:val="fr-FR"/>
              </w:rPr>
              <w:t>Ministère de la Formation Professionnelle et de l’Emploi</w:t>
            </w:r>
          </w:p>
        </w:tc>
      </w:tr>
      <w:tr w:rsidR="00A131EC" w:rsidRPr="00CF6937" w:rsidTr="00D72741">
        <w:trPr>
          <w:trHeight w:val="646"/>
        </w:trPr>
        <w:tc>
          <w:tcPr>
            <w:tcW w:w="1913" w:type="dxa"/>
            <w:vAlign w:val="center"/>
          </w:tcPr>
          <w:p w:rsidR="00A131EC" w:rsidRPr="00CF6937" w:rsidRDefault="0059632F" w:rsidP="00D72741">
            <w:pPr>
              <w:pStyle w:val="ETFBodyText"/>
              <w:ind w:left="0"/>
              <w:rPr>
                <w:rFonts w:cs="Arial"/>
                <w:sz w:val="22"/>
                <w:szCs w:val="22"/>
                <w:lang w:val="fr-FR"/>
              </w:rPr>
            </w:pPr>
            <w:r w:rsidRPr="00CF6937">
              <w:rPr>
                <w:rFonts w:cs="Arial"/>
                <w:sz w:val="22"/>
                <w:szCs w:val="22"/>
                <w:lang w:val="fr-FR"/>
              </w:rPr>
              <w:t>9.10 – 9:3</w:t>
            </w:r>
            <w:r w:rsidR="004B5928" w:rsidRPr="00CF6937">
              <w:rPr>
                <w:rFonts w:cs="Arial"/>
                <w:sz w:val="22"/>
                <w:szCs w:val="22"/>
                <w:lang w:val="fr-FR"/>
              </w:rPr>
              <w:t>0</w:t>
            </w:r>
          </w:p>
        </w:tc>
        <w:tc>
          <w:tcPr>
            <w:tcW w:w="7159" w:type="dxa"/>
            <w:vAlign w:val="center"/>
          </w:tcPr>
          <w:p w:rsidR="00A131EC" w:rsidRPr="00CF6937" w:rsidRDefault="00A131EC" w:rsidP="00A131EC">
            <w:pPr>
              <w:pStyle w:val="ETFBulletlevel1"/>
              <w:numPr>
                <w:ilvl w:val="0"/>
                <w:numId w:val="0"/>
              </w:numPr>
              <w:rPr>
                <w:rFonts w:cs="Arial"/>
                <w:sz w:val="22"/>
                <w:szCs w:val="22"/>
                <w:lang w:val="fr-FR"/>
              </w:rPr>
            </w:pPr>
            <w:r w:rsidRPr="00CF6937">
              <w:rPr>
                <w:rFonts w:cs="Arial"/>
                <w:sz w:val="22"/>
                <w:szCs w:val="22"/>
                <w:lang w:val="fr-FR"/>
              </w:rPr>
              <w:t>Background to the research</w:t>
            </w:r>
            <w:r w:rsidR="00764539" w:rsidRPr="00CF6937">
              <w:rPr>
                <w:rFonts w:cs="Arial"/>
                <w:sz w:val="22"/>
                <w:szCs w:val="22"/>
                <w:lang w:val="fr-FR"/>
              </w:rPr>
              <w:t>: Julian Stanley, ETF</w:t>
            </w:r>
          </w:p>
        </w:tc>
      </w:tr>
      <w:tr w:rsidR="00A131EC" w:rsidTr="00A131EC">
        <w:tc>
          <w:tcPr>
            <w:tcW w:w="1913" w:type="dxa"/>
            <w:vAlign w:val="center"/>
          </w:tcPr>
          <w:p w:rsidR="00A131EC" w:rsidRPr="00CF6937" w:rsidRDefault="0059632F">
            <w:pPr>
              <w:pStyle w:val="ETFBodyText"/>
              <w:rPr>
                <w:rFonts w:cs="Arial"/>
                <w:sz w:val="22"/>
                <w:szCs w:val="22"/>
                <w:lang w:val="fr-FR"/>
              </w:rPr>
            </w:pPr>
            <w:r w:rsidRPr="00CF6937">
              <w:rPr>
                <w:rFonts w:cs="Arial"/>
                <w:sz w:val="22"/>
                <w:szCs w:val="22"/>
                <w:lang w:val="fr-FR"/>
              </w:rPr>
              <w:t>9:30 – 10.3</w:t>
            </w:r>
            <w:r w:rsidR="004B5928" w:rsidRPr="00CF6937">
              <w:rPr>
                <w:rFonts w:cs="Arial"/>
                <w:sz w:val="22"/>
                <w:szCs w:val="22"/>
                <w:lang w:val="fr-FR"/>
              </w:rPr>
              <w:t>0</w:t>
            </w:r>
          </w:p>
        </w:tc>
        <w:tc>
          <w:tcPr>
            <w:tcW w:w="7159" w:type="dxa"/>
            <w:vAlign w:val="center"/>
          </w:tcPr>
          <w:p w:rsidR="0059632F" w:rsidRPr="00351D9C" w:rsidRDefault="00977737" w:rsidP="0059632F">
            <w:pPr>
              <w:rPr>
                <w:rFonts w:ascii="Times New Roman" w:eastAsia="Times New Roman" w:hAnsi="Times New Roman" w:cs="Times New Roman"/>
                <w:sz w:val="22"/>
                <w:szCs w:val="22"/>
              </w:rPr>
            </w:pPr>
            <w:r w:rsidRPr="00CF6937">
              <w:rPr>
                <w:sz w:val="22"/>
                <w:szCs w:val="22"/>
                <w:lang w:val="fr-FR"/>
              </w:rPr>
              <w:t>Main Findings from Report:</w:t>
            </w:r>
            <w:r w:rsidR="0049094C" w:rsidRPr="00CF6937">
              <w:rPr>
                <w:sz w:val="22"/>
                <w:szCs w:val="22"/>
                <w:lang w:val="fr-FR"/>
              </w:rPr>
              <w:t xml:space="preserve"> Professo</w:t>
            </w:r>
            <w:r w:rsidR="0059632F" w:rsidRPr="00CF6937">
              <w:rPr>
                <w:sz w:val="22"/>
                <w:szCs w:val="22"/>
                <w:lang w:val="fr-FR"/>
              </w:rPr>
              <w:t>r Lotfi Belkace</w:t>
            </w:r>
            <w:r w:rsidR="0059632F" w:rsidRPr="00351D9C">
              <w:rPr>
                <w:sz w:val="22"/>
                <w:szCs w:val="22"/>
              </w:rPr>
              <w:t xml:space="preserve">m, ETF National Expert and </w:t>
            </w:r>
            <w:r w:rsidR="0059632F" w:rsidRPr="00351D9C">
              <w:rPr>
                <w:rFonts w:eastAsia="Times New Roman"/>
                <w:color w:val="000000"/>
                <w:sz w:val="22"/>
                <w:szCs w:val="22"/>
                <w:lang w:val="en-US"/>
              </w:rPr>
              <w:t>Vice-chancellor</w:t>
            </w:r>
            <w:r w:rsidR="0059632F" w:rsidRPr="00351D9C">
              <w:rPr>
                <w:rFonts w:eastAsia="Times New Roman"/>
                <w:color w:val="0C0C0C"/>
                <w:sz w:val="22"/>
                <w:szCs w:val="22"/>
                <w:lang w:val="en-US"/>
              </w:rPr>
              <w:t> </w:t>
            </w:r>
            <w:r w:rsidR="0059632F" w:rsidRPr="00351D9C">
              <w:rPr>
                <w:rFonts w:eastAsia="Times New Roman"/>
                <w:color w:val="181818"/>
                <w:sz w:val="22"/>
                <w:szCs w:val="22"/>
                <w:lang w:val="en-US"/>
              </w:rPr>
              <w:t>o</w:t>
            </w:r>
            <w:r w:rsidR="0059632F" w:rsidRPr="00351D9C">
              <w:rPr>
                <w:rFonts w:eastAsia="Times New Roman"/>
                <w:color w:val="242424"/>
                <w:sz w:val="22"/>
                <w:szCs w:val="22"/>
                <w:lang w:val="en-US"/>
              </w:rPr>
              <w:t>f</w:t>
            </w:r>
            <w:r w:rsidR="0059632F" w:rsidRPr="00351D9C">
              <w:rPr>
                <w:rFonts w:eastAsia="Times New Roman"/>
                <w:color w:val="303030"/>
                <w:sz w:val="22"/>
                <w:szCs w:val="22"/>
                <w:lang w:val="en-US"/>
              </w:rPr>
              <w:t> t</w:t>
            </w:r>
            <w:r w:rsidR="0059632F" w:rsidRPr="00351D9C">
              <w:rPr>
                <w:rFonts w:eastAsia="Times New Roman"/>
                <w:color w:val="3C3C3C"/>
                <w:sz w:val="22"/>
                <w:szCs w:val="22"/>
                <w:lang w:val="en-US"/>
              </w:rPr>
              <w:t>he University of Sousse</w:t>
            </w:r>
          </w:p>
          <w:p w:rsidR="00A131EC" w:rsidRPr="00351D9C" w:rsidRDefault="00764539" w:rsidP="00A131EC">
            <w:pPr>
              <w:pStyle w:val="ETFBulletlevel1"/>
              <w:numPr>
                <w:ilvl w:val="0"/>
                <w:numId w:val="0"/>
              </w:numPr>
              <w:rPr>
                <w:rFonts w:cs="Arial"/>
                <w:sz w:val="22"/>
                <w:szCs w:val="22"/>
              </w:rPr>
            </w:pPr>
            <w:r w:rsidRPr="00351D9C">
              <w:rPr>
                <w:rFonts w:cs="Arial"/>
                <w:sz w:val="22"/>
                <w:szCs w:val="22"/>
              </w:rPr>
              <w:t>– followed by questions</w:t>
            </w:r>
          </w:p>
          <w:p w:rsidR="00764539" w:rsidRPr="00351D9C" w:rsidRDefault="00764539" w:rsidP="003756EE">
            <w:pPr>
              <w:pStyle w:val="ETFBulletlevel1"/>
              <w:numPr>
                <w:ilvl w:val="0"/>
                <w:numId w:val="0"/>
              </w:numPr>
              <w:rPr>
                <w:sz w:val="22"/>
                <w:szCs w:val="22"/>
              </w:rPr>
            </w:pPr>
            <w:r w:rsidRPr="00351D9C">
              <w:rPr>
                <w:sz w:val="22"/>
                <w:szCs w:val="22"/>
              </w:rPr>
              <w:t>Chair: Julian Stanley</w:t>
            </w:r>
            <w:r w:rsidR="00971563" w:rsidRPr="00351D9C">
              <w:rPr>
                <w:sz w:val="22"/>
                <w:szCs w:val="22"/>
              </w:rPr>
              <w:t xml:space="preserve">, </w:t>
            </w:r>
            <w:r w:rsidR="00971563" w:rsidRPr="00351D9C">
              <w:rPr>
                <w:rFonts w:cs="Arial"/>
                <w:sz w:val="22"/>
                <w:szCs w:val="22"/>
              </w:rPr>
              <w:t>ETF</w:t>
            </w:r>
          </w:p>
        </w:tc>
      </w:tr>
      <w:tr w:rsidR="00A131EC" w:rsidTr="00A131EC">
        <w:tc>
          <w:tcPr>
            <w:tcW w:w="1913" w:type="dxa"/>
            <w:vAlign w:val="center"/>
          </w:tcPr>
          <w:p w:rsidR="00A131EC" w:rsidRPr="00351D9C" w:rsidRDefault="0059632F" w:rsidP="00DD3867">
            <w:pPr>
              <w:pStyle w:val="ETFBodyText"/>
              <w:ind w:left="0"/>
              <w:rPr>
                <w:rFonts w:cs="Arial"/>
                <w:sz w:val="22"/>
                <w:szCs w:val="22"/>
              </w:rPr>
            </w:pPr>
            <w:r w:rsidRPr="00351D9C">
              <w:rPr>
                <w:rFonts w:cs="Arial"/>
                <w:sz w:val="22"/>
                <w:szCs w:val="22"/>
              </w:rPr>
              <w:t>10.3</w:t>
            </w:r>
            <w:r w:rsidR="004B5928" w:rsidRPr="00351D9C">
              <w:rPr>
                <w:rFonts w:cs="Arial"/>
                <w:sz w:val="22"/>
                <w:szCs w:val="22"/>
              </w:rPr>
              <w:t>0 -</w:t>
            </w:r>
            <w:r w:rsidRPr="00351D9C">
              <w:rPr>
                <w:rFonts w:cs="Arial"/>
                <w:sz w:val="22"/>
                <w:szCs w:val="22"/>
              </w:rPr>
              <w:t>10</w:t>
            </w:r>
            <w:r w:rsidR="004B5928" w:rsidRPr="00351D9C">
              <w:rPr>
                <w:rFonts w:cs="Arial"/>
                <w:sz w:val="22"/>
                <w:szCs w:val="22"/>
              </w:rPr>
              <w:t xml:space="preserve">.50 </w:t>
            </w:r>
          </w:p>
        </w:tc>
        <w:tc>
          <w:tcPr>
            <w:tcW w:w="7159" w:type="dxa"/>
            <w:vAlign w:val="center"/>
          </w:tcPr>
          <w:p w:rsidR="00A131EC" w:rsidRPr="00351D9C" w:rsidRDefault="00B670E0" w:rsidP="00B670E0">
            <w:pPr>
              <w:pStyle w:val="ETFBulletlevel1"/>
              <w:numPr>
                <w:ilvl w:val="0"/>
                <w:numId w:val="0"/>
              </w:numPr>
              <w:rPr>
                <w:rFonts w:cs="Arial"/>
                <w:sz w:val="22"/>
                <w:szCs w:val="22"/>
              </w:rPr>
            </w:pPr>
            <w:r w:rsidRPr="00351D9C">
              <w:rPr>
                <w:sz w:val="22"/>
                <w:szCs w:val="22"/>
              </w:rPr>
              <w:t>Break and refreshments</w:t>
            </w:r>
          </w:p>
        </w:tc>
      </w:tr>
      <w:tr w:rsidR="00A131EC" w:rsidTr="00A131EC">
        <w:tc>
          <w:tcPr>
            <w:tcW w:w="1913" w:type="dxa"/>
            <w:vAlign w:val="center"/>
          </w:tcPr>
          <w:p w:rsidR="004B5928" w:rsidRPr="00351D9C" w:rsidRDefault="004B5928" w:rsidP="00A131EC">
            <w:pPr>
              <w:pStyle w:val="ETFBodyText"/>
              <w:rPr>
                <w:rFonts w:cs="Arial"/>
                <w:sz w:val="22"/>
                <w:szCs w:val="22"/>
              </w:rPr>
            </w:pPr>
          </w:p>
          <w:p w:rsidR="004B5928" w:rsidRPr="00351D9C" w:rsidRDefault="0059632F" w:rsidP="00A131EC">
            <w:pPr>
              <w:pStyle w:val="ETFBodyText"/>
              <w:rPr>
                <w:rFonts w:cs="Arial"/>
                <w:sz w:val="22"/>
                <w:szCs w:val="22"/>
              </w:rPr>
            </w:pPr>
            <w:r w:rsidRPr="00351D9C">
              <w:rPr>
                <w:rFonts w:cs="Arial"/>
                <w:sz w:val="22"/>
                <w:szCs w:val="22"/>
              </w:rPr>
              <w:t>10.50 – 12.00</w:t>
            </w:r>
          </w:p>
        </w:tc>
        <w:tc>
          <w:tcPr>
            <w:tcW w:w="7159" w:type="dxa"/>
            <w:vAlign w:val="center"/>
          </w:tcPr>
          <w:p w:rsidR="00B670E0" w:rsidRPr="00351D9C" w:rsidRDefault="00BA1114" w:rsidP="00B670E0">
            <w:pPr>
              <w:pStyle w:val="ETFBulletlevel1"/>
              <w:numPr>
                <w:ilvl w:val="0"/>
                <w:numId w:val="0"/>
              </w:numPr>
              <w:rPr>
                <w:rFonts w:cs="Arial"/>
                <w:sz w:val="22"/>
                <w:szCs w:val="22"/>
              </w:rPr>
            </w:pPr>
            <w:r>
              <w:rPr>
                <w:rFonts w:cs="Arial"/>
                <w:sz w:val="22"/>
                <w:szCs w:val="22"/>
              </w:rPr>
              <w:t>Main issues</w:t>
            </w:r>
            <w:r w:rsidR="00B670E0" w:rsidRPr="00351D9C">
              <w:rPr>
                <w:rFonts w:cs="Arial"/>
                <w:sz w:val="22"/>
                <w:szCs w:val="22"/>
              </w:rPr>
              <w:t xml:space="preserve"> and Recommendations (Group Discussion)</w:t>
            </w:r>
          </w:p>
          <w:p w:rsidR="00B670E0" w:rsidRPr="00BA1114" w:rsidRDefault="00B670E0" w:rsidP="00BA1114">
            <w:pPr>
              <w:pStyle w:val="ETFBulletlevel1"/>
              <w:numPr>
                <w:ilvl w:val="0"/>
                <w:numId w:val="0"/>
              </w:numPr>
              <w:rPr>
                <w:rFonts w:cs="Arial"/>
                <w:sz w:val="22"/>
                <w:szCs w:val="22"/>
              </w:rPr>
            </w:pPr>
            <w:r w:rsidRPr="00351D9C">
              <w:rPr>
                <w:rFonts w:cs="Arial"/>
                <w:sz w:val="22"/>
                <w:szCs w:val="22"/>
              </w:rPr>
              <w:t xml:space="preserve">Groups facilitated by:  </w:t>
            </w:r>
            <w:r w:rsidR="0059632F" w:rsidRPr="00351D9C">
              <w:rPr>
                <w:rFonts w:cs="Arial"/>
                <w:sz w:val="22"/>
                <w:szCs w:val="22"/>
              </w:rPr>
              <w:t xml:space="preserve">Prof Lotfi Belkacem and </w:t>
            </w:r>
            <w:r w:rsidR="00BA1114">
              <w:rPr>
                <w:rFonts w:cs="Arial"/>
                <w:sz w:val="22"/>
                <w:szCs w:val="22"/>
              </w:rPr>
              <w:t>M</w:t>
            </w:r>
            <w:r w:rsidR="00E65991">
              <w:rPr>
                <w:rFonts w:cs="Arial"/>
                <w:sz w:val="22"/>
                <w:szCs w:val="22"/>
              </w:rPr>
              <w:t>.</w:t>
            </w:r>
            <w:bookmarkStart w:id="0" w:name="_GoBack"/>
            <w:bookmarkEnd w:id="0"/>
            <w:r w:rsidR="00710EBF">
              <w:rPr>
                <w:rFonts w:cs="Arial"/>
                <w:sz w:val="22"/>
                <w:szCs w:val="22"/>
              </w:rPr>
              <w:t xml:space="preserve"> </w:t>
            </w:r>
            <w:r w:rsidR="00BA1114" w:rsidRPr="00BA1114">
              <w:rPr>
                <w:rFonts w:cs="Arial"/>
                <w:sz w:val="22"/>
                <w:szCs w:val="22"/>
              </w:rPr>
              <w:t>Thierry Foubert</w:t>
            </w:r>
          </w:p>
          <w:p w:rsidR="00DD3867" w:rsidRPr="00BA1114" w:rsidRDefault="00B670E0" w:rsidP="00764539">
            <w:pPr>
              <w:pStyle w:val="ETFBodyText"/>
              <w:ind w:left="0"/>
              <w:rPr>
                <w:rFonts w:cs="Arial"/>
                <w:sz w:val="22"/>
                <w:szCs w:val="22"/>
              </w:rPr>
            </w:pPr>
            <w:r w:rsidRPr="00351D9C">
              <w:rPr>
                <w:rFonts w:cs="Arial"/>
                <w:sz w:val="22"/>
                <w:szCs w:val="22"/>
              </w:rPr>
              <w:t>Chair: Julian Stanley, ETF</w:t>
            </w:r>
          </w:p>
        </w:tc>
      </w:tr>
      <w:tr w:rsidR="00A131EC" w:rsidTr="00A131EC">
        <w:tc>
          <w:tcPr>
            <w:tcW w:w="1913" w:type="dxa"/>
            <w:vAlign w:val="center"/>
          </w:tcPr>
          <w:p w:rsidR="004B5928" w:rsidRPr="00351D9C" w:rsidRDefault="00351D9C" w:rsidP="00351D9C">
            <w:pPr>
              <w:pStyle w:val="ETFBodyText"/>
              <w:numPr>
                <w:ilvl w:val="0"/>
                <w:numId w:val="34"/>
              </w:numPr>
              <w:rPr>
                <w:rFonts w:cs="Arial"/>
                <w:sz w:val="22"/>
                <w:szCs w:val="22"/>
              </w:rPr>
            </w:pPr>
            <w:r w:rsidRPr="00351D9C">
              <w:rPr>
                <w:rFonts w:cs="Arial"/>
                <w:sz w:val="22"/>
                <w:szCs w:val="22"/>
              </w:rPr>
              <w:t>– 13</w:t>
            </w:r>
            <w:r w:rsidR="004B5928" w:rsidRPr="00351D9C">
              <w:rPr>
                <w:rFonts w:cs="Arial"/>
                <w:sz w:val="22"/>
                <w:szCs w:val="22"/>
              </w:rPr>
              <w:t xml:space="preserve">. </w:t>
            </w:r>
            <w:r w:rsidRPr="00351D9C">
              <w:rPr>
                <w:rFonts w:cs="Arial"/>
                <w:sz w:val="22"/>
                <w:szCs w:val="22"/>
              </w:rPr>
              <w:t>0</w:t>
            </w:r>
            <w:r w:rsidR="003A5402" w:rsidRPr="00351D9C">
              <w:rPr>
                <w:rFonts w:cs="Arial"/>
                <w:sz w:val="22"/>
                <w:szCs w:val="22"/>
              </w:rPr>
              <w:t>0</w:t>
            </w:r>
          </w:p>
          <w:p w:rsidR="00A131EC" w:rsidRPr="00351D9C" w:rsidRDefault="00A131EC" w:rsidP="00A131EC">
            <w:pPr>
              <w:pStyle w:val="ETFBodyText"/>
              <w:rPr>
                <w:rFonts w:cs="Arial"/>
                <w:sz w:val="22"/>
                <w:szCs w:val="22"/>
              </w:rPr>
            </w:pPr>
          </w:p>
        </w:tc>
        <w:tc>
          <w:tcPr>
            <w:tcW w:w="7159" w:type="dxa"/>
            <w:vAlign w:val="center"/>
          </w:tcPr>
          <w:p w:rsidR="00BA1114" w:rsidRDefault="00A131EC" w:rsidP="00BA1114">
            <w:pPr>
              <w:shd w:val="clear" w:color="auto" w:fill="FFFFFF"/>
              <w:jc w:val="both"/>
              <w:rPr>
                <w:sz w:val="22"/>
                <w:szCs w:val="22"/>
                <w:lang w:val="fr-FR"/>
              </w:rPr>
            </w:pPr>
            <w:r w:rsidRPr="0049094C">
              <w:rPr>
                <w:sz w:val="22"/>
                <w:szCs w:val="22"/>
                <w:lang w:val="fr-FR"/>
              </w:rPr>
              <w:t>Response</w:t>
            </w:r>
            <w:r w:rsidR="00F23F5E">
              <w:rPr>
                <w:sz w:val="22"/>
                <w:szCs w:val="22"/>
                <w:lang w:val="fr-FR"/>
              </w:rPr>
              <w:t xml:space="preserve"> </w:t>
            </w:r>
            <w:r w:rsidRPr="0049094C">
              <w:rPr>
                <w:sz w:val="22"/>
                <w:szCs w:val="22"/>
                <w:lang w:val="fr-FR"/>
              </w:rPr>
              <w:t>from Panel</w:t>
            </w:r>
            <w:r w:rsidR="006022EC" w:rsidRPr="0049094C">
              <w:rPr>
                <w:sz w:val="22"/>
                <w:szCs w:val="22"/>
                <w:lang w:val="fr-FR"/>
              </w:rPr>
              <w:t xml:space="preserve"> of Stakeholders</w:t>
            </w:r>
            <w:r w:rsidR="003A5402" w:rsidRPr="0049094C">
              <w:rPr>
                <w:sz w:val="22"/>
                <w:szCs w:val="22"/>
                <w:lang w:val="fr-FR"/>
              </w:rPr>
              <w:t>:</w:t>
            </w:r>
            <w:r w:rsidR="00F23F5E">
              <w:rPr>
                <w:sz w:val="22"/>
                <w:szCs w:val="22"/>
                <w:lang w:val="fr-FR"/>
              </w:rPr>
              <w:t xml:space="preserve"> </w:t>
            </w:r>
          </w:p>
          <w:p w:rsidR="00BA1114" w:rsidRDefault="00BA1114" w:rsidP="00BA1114">
            <w:pPr>
              <w:shd w:val="clear" w:color="auto" w:fill="FFFFFF"/>
              <w:jc w:val="both"/>
              <w:rPr>
                <w:sz w:val="22"/>
                <w:szCs w:val="22"/>
                <w:lang w:val="fr-FR"/>
              </w:rPr>
            </w:pPr>
          </w:p>
          <w:p w:rsidR="00BA1114" w:rsidRPr="001555F3" w:rsidRDefault="00BA1114" w:rsidP="00BA1114">
            <w:pPr>
              <w:shd w:val="clear" w:color="auto" w:fill="FFFFFF"/>
              <w:jc w:val="both"/>
              <w:rPr>
                <w:sz w:val="22"/>
                <w:szCs w:val="22"/>
                <w:lang w:val="fr-FR"/>
              </w:rPr>
            </w:pPr>
            <w:r w:rsidRPr="00C64392">
              <w:rPr>
                <w:sz w:val="22"/>
                <w:szCs w:val="22"/>
                <w:lang w:val="fr-FR"/>
              </w:rPr>
              <w:t xml:space="preserve">Ministère de la Formation Professionnelle et de l'Emploi, Agence Tunisienne de </w:t>
            </w:r>
            <w:r>
              <w:rPr>
                <w:sz w:val="22"/>
                <w:szCs w:val="22"/>
                <w:lang w:val="fr-FR"/>
              </w:rPr>
              <w:t>la Formation Professionnelle (</w:t>
            </w:r>
            <w:r w:rsidRPr="00C64392">
              <w:rPr>
                <w:sz w:val="22"/>
                <w:szCs w:val="22"/>
                <w:lang w:val="fr-FR"/>
              </w:rPr>
              <w:t>ATFP</w:t>
            </w:r>
            <w:r>
              <w:rPr>
                <w:sz w:val="22"/>
                <w:szCs w:val="22"/>
                <w:lang w:val="fr-FR"/>
              </w:rPr>
              <w:t>)</w:t>
            </w:r>
            <w:r w:rsidRPr="00C64392">
              <w:rPr>
                <w:sz w:val="22"/>
                <w:szCs w:val="22"/>
                <w:lang w:val="fr-FR"/>
              </w:rPr>
              <w:t>, Agence de la Vulgarisati</w:t>
            </w:r>
            <w:r>
              <w:rPr>
                <w:sz w:val="22"/>
                <w:szCs w:val="22"/>
                <w:lang w:val="fr-FR"/>
              </w:rPr>
              <w:t>on et de la Formation Agricole (</w:t>
            </w:r>
            <w:r w:rsidRPr="00C64392">
              <w:rPr>
                <w:sz w:val="22"/>
                <w:szCs w:val="22"/>
                <w:lang w:val="fr-FR"/>
              </w:rPr>
              <w:t>AVFA</w:t>
            </w:r>
            <w:r>
              <w:rPr>
                <w:sz w:val="22"/>
                <w:szCs w:val="22"/>
                <w:lang w:val="fr-FR"/>
              </w:rPr>
              <w:t>)</w:t>
            </w:r>
            <w:r w:rsidRPr="00C64392">
              <w:rPr>
                <w:sz w:val="22"/>
                <w:szCs w:val="22"/>
                <w:lang w:val="fr-FR"/>
              </w:rPr>
              <w:t xml:space="preserve">, Agence de formation aux </w:t>
            </w:r>
            <w:r>
              <w:rPr>
                <w:sz w:val="22"/>
                <w:szCs w:val="22"/>
                <w:lang w:val="fr-FR"/>
              </w:rPr>
              <w:t>M</w:t>
            </w:r>
            <w:r w:rsidRPr="00C64392">
              <w:rPr>
                <w:sz w:val="22"/>
                <w:szCs w:val="22"/>
                <w:lang w:val="fr-FR"/>
              </w:rPr>
              <w:t xml:space="preserve">étiers du </w:t>
            </w:r>
            <w:r>
              <w:rPr>
                <w:sz w:val="22"/>
                <w:szCs w:val="22"/>
                <w:lang w:val="fr-FR"/>
              </w:rPr>
              <w:t>T</w:t>
            </w:r>
            <w:r w:rsidRPr="00C64392">
              <w:rPr>
                <w:sz w:val="22"/>
                <w:szCs w:val="22"/>
                <w:lang w:val="fr-FR"/>
              </w:rPr>
              <w:t xml:space="preserve">ourisme (AFMT), </w:t>
            </w:r>
            <w:r w:rsidRPr="001555F3">
              <w:rPr>
                <w:sz w:val="22"/>
                <w:szCs w:val="22"/>
                <w:lang w:val="fr-FR"/>
              </w:rPr>
              <w:t>Centre National de Formation de Formateurs et d'Ingénierie de Formation (CENAFFIF), Union Tunisienne de l'Industrie, du Commerce et de l'Artisanat (UTICA),Union Tunisienne de l'Agriculture et de la Pêche (UTAP),Fédération Tunisienne de l'Hôtellerie (FTH), Chambre Nationale Syndicale des Structures de Formation privée (CNSSFP).</w:t>
            </w:r>
          </w:p>
          <w:p w:rsidR="001A33C0" w:rsidRPr="00BA1114" w:rsidRDefault="001A33C0" w:rsidP="00D72741">
            <w:pPr>
              <w:pStyle w:val="ETFBulletlevel1"/>
              <w:numPr>
                <w:ilvl w:val="0"/>
                <w:numId w:val="0"/>
              </w:numPr>
              <w:rPr>
                <w:rFonts w:cs="Arial"/>
                <w:sz w:val="22"/>
                <w:szCs w:val="22"/>
                <w:lang w:val="fr-FR"/>
              </w:rPr>
            </w:pPr>
          </w:p>
          <w:p w:rsidR="00764539" w:rsidRPr="00351D9C" w:rsidRDefault="006022EC" w:rsidP="003756EE">
            <w:pPr>
              <w:pStyle w:val="ETFBulletlevel1"/>
              <w:numPr>
                <w:ilvl w:val="0"/>
                <w:numId w:val="0"/>
              </w:numPr>
              <w:rPr>
                <w:sz w:val="22"/>
                <w:szCs w:val="22"/>
              </w:rPr>
            </w:pPr>
            <w:r w:rsidRPr="00351D9C">
              <w:rPr>
                <w:rFonts w:cs="Arial"/>
                <w:sz w:val="22"/>
                <w:szCs w:val="22"/>
              </w:rPr>
              <w:t>Chair</w:t>
            </w:r>
            <w:r w:rsidR="00AF3F02" w:rsidRPr="00351D9C">
              <w:rPr>
                <w:rFonts w:cs="Arial"/>
                <w:sz w:val="22"/>
                <w:szCs w:val="22"/>
              </w:rPr>
              <w:t>:</w:t>
            </w:r>
            <w:r w:rsidR="001A33C0" w:rsidRPr="00351D9C">
              <w:rPr>
                <w:rFonts w:cs="Arial"/>
                <w:sz w:val="22"/>
                <w:szCs w:val="22"/>
              </w:rPr>
              <w:t xml:space="preserve"> Julian Stanley, </w:t>
            </w:r>
            <w:r w:rsidRPr="00351D9C">
              <w:rPr>
                <w:rFonts w:cs="Arial"/>
                <w:sz w:val="22"/>
                <w:szCs w:val="22"/>
                <w:lang w:val="it-IT"/>
              </w:rPr>
              <w:t>ETF</w:t>
            </w:r>
          </w:p>
        </w:tc>
      </w:tr>
      <w:tr w:rsidR="00A131EC" w:rsidTr="00A131EC">
        <w:tc>
          <w:tcPr>
            <w:tcW w:w="1913" w:type="dxa"/>
            <w:vAlign w:val="center"/>
          </w:tcPr>
          <w:p w:rsidR="004B5928" w:rsidRPr="00351D9C" w:rsidRDefault="00351D9C" w:rsidP="003A5402">
            <w:pPr>
              <w:pStyle w:val="ETFBodyText"/>
              <w:ind w:left="0"/>
              <w:rPr>
                <w:rFonts w:cs="Arial"/>
                <w:sz w:val="22"/>
                <w:szCs w:val="22"/>
              </w:rPr>
            </w:pPr>
            <w:r w:rsidRPr="00351D9C">
              <w:rPr>
                <w:rFonts w:cs="Arial"/>
                <w:sz w:val="22"/>
                <w:szCs w:val="22"/>
              </w:rPr>
              <w:t>13</w:t>
            </w:r>
            <w:r w:rsidR="004B5928" w:rsidRPr="00351D9C">
              <w:rPr>
                <w:rFonts w:cs="Arial"/>
                <w:sz w:val="22"/>
                <w:szCs w:val="22"/>
              </w:rPr>
              <w:t>.</w:t>
            </w:r>
            <w:r w:rsidRPr="00351D9C">
              <w:rPr>
                <w:rFonts w:cs="Arial"/>
                <w:sz w:val="22"/>
                <w:szCs w:val="22"/>
              </w:rPr>
              <w:t>0</w:t>
            </w:r>
            <w:r w:rsidR="003A5402" w:rsidRPr="00351D9C">
              <w:rPr>
                <w:rFonts w:cs="Arial"/>
                <w:sz w:val="22"/>
                <w:szCs w:val="22"/>
              </w:rPr>
              <w:t>0</w:t>
            </w:r>
            <w:r w:rsidRPr="00351D9C">
              <w:rPr>
                <w:rFonts w:cs="Arial"/>
                <w:sz w:val="22"/>
                <w:szCs w:val="22"/>
              </w:rPr>
              <w:t xml:space="preserve"> – 14</w:t>
            </w:r>
            <w:r w:rsidR="004B5928" w:rsidRPr="00351D9C">
              <w:rPr>
                <w:rFonts w:cs="Arial"/>
                <w:sz w:val="22"/>
                <w:szCs w:val="22"/>
              </w:rPr>
              <w:t>.</w:t>
            </w:r>
            <w:r w:rsidRPr="00351D9C">
              <w:rPr>
                <w:rFonts w:cs="Arial"/>
                <w:sz w:val="22"/>
                <w:szCs w:val="22"/>
              </w:rPr>
              <w:t>00</w:t>
            </w:r>
          </w:p>
        </w:tc>
        <w:tc>
          <w:tcPr>
            <w:tcW w:w="7159" w:type="dxa"/>
            <w:vAlign w:val="center"/>
          </w:tcPr>
          <w:p w:rsidR="00A131EC" w:rsidRPr="00351D9C" w:rsidRDefault="00566B9F" w:rsidP="00A131EC">
            <w:pPr>
              <w:pStyle w:val="ETFBulletlevel1"/>
              <w:numPr>
                <w:ilvl w:val="0"/>
                <w:numId w:val="0"/>
              </w:numPr>
              <w:rPr>
                <w:rFonts w:cs="Arial"/>
                <w:sz w:val="22"/>
                <w:szCs w:val="22"/>
              </w:rPr>
            </w:pPr>
            <w:r w:rsidRPr="00351D9C">
              <w:rPr>
                <w:rFonts w:cs="Arial"/>
                <w:sz w:val="22"/>
                <w:szCs w:val="22"/>
              </w:rPr>
              <w:t>Lunch</w:t>
            </w:r>
          </w:p>
        </w:tc>
      </w:tr>
    </w:tbl>
    <w:p w:rsidR="008A4A77" w:rsidRDefault="008A4A77" w:rsidP="001902D4">
      <w:pPr>
        <w:pStyle w:val="Corpsdetexte"/>
      </w:pPr>
    </w:p>
    <w:sectPr w:rsidR="008A4A77" w:rsidSect="00EF606E">
      <w:footerReference w:type="default" r:id="rId8"/>
      <w:headerReference w:type="first" r:id="rId9"/>
      <w:footerReference w:type="first" r:id="rId10"/>
      <w:pgSz w:w="11906" w:h="16838"/>
      <w:pgMar w:top="1135" w:right="1274" w:bottom="2127" w:left="1560"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571" w:rsidRDefault="00243571" w:rsidP="0089222B">
      <w:r>
        <w:separator/>
      </w:r>
    </w:p>
  </w:endnote>
  <w:endnote w:type="continuationSeparator" w:id="1">
    <w:p w:rsidR="00243571" w:rsidRDefault="00243571" w:rsidP="008922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panose1 w:val="00000000000000000000"/>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3" w:rsidRDefault="001D53D0" w:rsidP="0089222B">
    <w:pPr>
      <w:pStyle w:val="Pieddepage"/>
    </w:pPr>
    <w:r w:rsidRPr="001D53D0">
      <w:rPr>
        <w:noProof/>
        <w:lang w:eastAsia="en-GB"/>
      </w:rPr>
      <w:pict>
        <v:roundrect id="AutoShape 4" o:spid="_x0000_s6150" style="position:absolute;left:0;text-align:left;margin-left:52.45pt;margin-top:-8.5pt;width:511.65pt;height:34pt;z-index:251654139;visibility:visible;mso-position-horizontal-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" fillcolor="#0092bb [3204]" stroked="f" strokecolor="#0393bc" strokeweight="3pt">
          <v:fill color2="#66bed6 [3205]" rotate="t" angle="90" focus="100%" type="gradient"/>
          <v:shadow color="#336a7f [1608]" opacity=".5" offset="1pt"/>
          <v:textbox inset=",,4.5mm">
            <w:txbxContent>
              <w:p w:rsidR="00971563" w:rsidRPr="00DB5D6E" w:rsidRDefault="00971563" w:rsidP="00DB5D6E"/>
            </w:txbxContent>
          </v:textbox>
          <w10:wrap anchorx="page"/>
        </v:roundrect>
      </w:pict>
    </w:r>
    <w:r w:rsidRPr="001D53D0">
      <w:rPr>
        <w:noProof/>
        <w:lang w:eastAsia="en-GB"/>
      </w:rPr>
      <w:pict>
        <v:rect id="Rectangle 5" o:spid="_x0000_s6149" style="position:absolute;left:0;text-align:left;margin-left:52.45pt;margin-top:-8.5pt;width:495.8pt;height:21pt;z-index:25165311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" fillcolor="#0092bb [3204]" stroked="f">
          <v:fill color2="#66bed6 [3205]" rotate="t" angle="90" focus="100%" type="gradient"/>
          <w10:wrap anchorx="page"/>
        </v:rect>
      </w:pict>
    </w:r>
  </w:p>
  <w:p w:rsidR="00971563" w:rsidRDefault="00971563" w:rsidP="0089222B">
    <w:pPr>
      <w:pStyle w:val="Pieddepage"/>
    </w:pPr>
    <w:r>
      <w:rPr>
        <w:noProof/>
        <w:lang w:val="fr-FR" w:eastAsia="fr-FR"/>
      </w:rPr>
      <w:drawing>
        <wp:anchor distT="0" distB="0" distL="114300" distR="114300" simplePos="0" relativeHeight="251663360" behindDoc="0" locked="0" layoutInCell="1" allowOverlap="1">
          <wp:simplePos x="0" y="0"/>
          <wp:positionH relativeFrom="page">
            <wp:posOffset>1149350</wp:posOffset>
          </wp:positionH>
          <wp:positionV relativeFrom="paragraph">
            <wp:posOffset>-241300</wp:posOffset>
          </wp:positionV>
          <wp:extent cx="844550" cy="368300"/>
          <wp:effectExtent l="19050" t="0" r="0" b="0"/>
          <wp:wrapNone/>
          <wp:docPr id="7"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3" w:rsidRDefault="001D53D0" w:rsidP="0089222B">
    <w:pPr>
      <w:pStyle w:val="Pieddepage"/>
    </w:pPr>
    <w:r w:rsidRPr="001D53D0">
      <w:rPr>
        <w:noProof/>
        <w:lang w:eastAsia="en-GB"/>
      </w:rPr>
      <w:pict>
        <v:shapetype id="_x0000_t202" coordsize="21600,21600" o:spt="202" path="m,l,21600r21600,l21600,xe">
          <v:stroke joinstyle="miter"/>
          <v:path gradientshapeok="t" o:connecttype="rect"/>
        </v:shapetype>
        <v:shape id="Text Box 7" o:spid="_x0000_s6148" type="#_x0000_t202" style="position:absolute;left:0;text-align:left;margin-left:218pt;margin-top:-62.8pt;width:252.5pt;height:30.7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XugIAAMA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" filled="f" stroked="f">
          <v:textbox>
            <w:txbxContent>
              <w:p w:rsidR="00971563" w:rsidRPr="0077204E" w:rsidRDefault="00971563" w:rsidP="00CA1074">
                <w:pPr>
                  <w:pStyle w:val="Corpsdetexte"/>
                  <w:spacing w:after="0"/>
                  <w:jc w:val="right"/>
                  <w:rPr>
                    <w:i/>
                    <w:sz w:val="16"/>
                    <w:szCs w:val="16"/>
                  </w:rPr>
                </w:pPr>
                <w:r w:rsidRPr="0077204E">
                  <w:rPr>
                    <w:i/>
                    <w:sz w:val="16"/>
                    <w:szCs w:val="16"/>
                  </w:rPr>
                  <w:t>Subject to final confirmation</w:t>
                </w:r>
              </w:p>
              <w:p w:rsidR="00971563" w:rsidRPr="0077204E" w:rsidRDefault="00971563" w:rsidP="00CA1074">
                <w:pPr>
                  <w:pStyle w:val="Corpsdetexte"/>
                  <w:spacing w:after="0"/>
                  <w:jc w:val="right"/>
                  <w:rPr>
                    <w:i/>
                    <w:sz w:val="16"/>
                    <w:szCs w:val="16"/>
                  </w:rPr>
                </w:pPr>
                <w:r w:rsidRPr="0077204E">
                  <w:rPr>
                    <w:i/>
                    <w:sz w:val="16"/>
                    <w:szCs w:val="16"/>
                  </w:rPr>
                  <w:t>Speakers will receive a detailed briefing note on their session</w:t>
                </w:r>
              </w:p>
              <w:p w:rsidR="00971563" w:rsidRDefault="00971563"/>
            </w:txbxContent>
          </v:textbox>
        </v:shape>
      </w:pict>
    </w:r>
    <w:r w:rsidRPr="001D53D0">
      <w:rPr>
        <w:noProof/>
        <w:lang w:eastAsia="en-GB"/>
      </w:rPr>
      <w:pict>
        <v:group id="Group 7" o:spid="_x0000_s6145" style="position:absolute;left:0;text-align:left;margin-left:-41.15pt;margin-top:-21.25pt;width:511.65pt;height:34pt;z-index:251667456" coordorigin="1049,15593" coordsize="102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">
          <v:rect id="Rectangle 3" o:spid="_x0000_s6147" style="position:absolute;left:1049;top:15593;width:9976;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" fillcolor="#0092bb [3204]" stroked="f">
            <v:fill color2="#66bed6 [3205]" rotate="t" angle="90" focus="100%" type="gradient"/>
          </v:rect>
          <v:roundrect id="AutoShape 1" o:spid="_x0000_s6146" style="position:absolute;left:1049;top:15593;width:10233;height:680;visibility:visible" arcsize="253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" fillcolor="#0092bb [3204]" stroked="f" strokecolor="#0393bc" strokeweight="3pt">
            <v:fill color2="#66bed6 [3205]" rotate="t" angle="90" focus="100%" type="gradient"/>
            <v:shadow color="#336a7f [1608]" opacity=".5" offset="1pt"/>
          </v:roundrec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571" w:rsidRDefault="00243571" w:rsidP="0089222B">
      <w:r>
        <w:separator/>
      </w:r>
    </w:p>
  </w:footnote>
  <w:footnote w:type="continuationSeparator" w:id="1">
    <w:p w:rsidR="00243571" w:rsidRDefault="00243571" w:rsidP="00892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37" w:rsidRDefault="00CF6937" w:rsidP="00CF6937">
    <w:pPr>
      <w:pStyle w:val="En-tte"/>
      <w:ind w:left="3261"/>
      <w:rPr>
        <w:b/>
        <w:color w:val="0092BB" w:themeColor="accent1"/>
        <w:sz w:val="18"/>
        <w:szCs w:val="18"/>
        <w:lang w:val="it-IT"/>
      </w:rPr>
    </w:pPr>
    <w:r>
      <w:rPr>
        <w:b/>
        <w:noProof/>
        <w:color w:val="0092BB" w:themeColor="accent1"/>
        <w:sz w:val="18"/>
        <w:szCs w:val="18"/>
        <w:lang w:val="fr-FR" w:eastAsia="fr-FR"/>
      </w:rPr>
      <w:pict>
        <v:shapetype id="_x0000_t202" coordsize="21600,21600" o:spt="202" path="m,l,21600r21600,l21600,xe">
          <v:stroke joinstyle="miter"/>
          <v:path gradientshapeok="t" o:connecttype="rect"/>
        </v:shapetype>
        <v:shape id="_x0000_s6153" type="#_x0000_t202" style="position:absolute;left:0;text-align:left;margin-left:350.15pt;margin-top:-5.05pt;width:136.85pt;height:105.15pt;z-index:251672576;mso-width-relative:margin;mso-height-relative:margin" strokecolor="white [3212]">
          <v:textbox style="mso-next-textbox:#_x0000_s6153">
            <w:txbxContent>
              <w:p w:rsidR="00CF6937" w:rsidRPr="0028037C" w:rsidRDefault="00CF6937" w:rsidP="00CF6937">
                <w:pPr>
                  <w:pStyle w:val="En-tte"/>
                  <w:tabs>
                    <w:tab w:val="left" w:pos="567"/>
                  </w:tabs>
                  <w:ind w:left="-284"/>
                  <w:rPr>
                    <w:color w:val="7F7F7F" w:themeColor="text1" w:themeTint="80"/>
                  </w:rPr>
                </w:pPr>
              </w:p>
              <w:p w:rsidR="00CF6937" w:rsidRPr="0028037C" w:rsidRDefault="00CF6937" w:rsidP="00CF6937">
                <w:pPr>
                  <w:pStyle w:val="En-tte"/>
                  <w:rPr>
                    <w:rFonts w:asciiTheme="minorBidi" w:hAnsiTheme="minorBidi" w:cstheme="minorBidi"/>
                    <w:b/>
                    <w:bCs/>
                    <w:color w:val="7F7F7F" w:themeColor="text1" w:themeTint="80"/>
                    <w:sz w:val="16"/>
                    <w:szCs w:val="16"/>
                    <w:lang w:val="fr-FR"/>
                  </w:rPr>
                </w:pPr>
                <w:r w:rsidRPr="0028037C">
                  <w:rPr>
                    <w:rFonts w:asciiTheme="minorBidi" w:hAnsiTheme="minorBidi" w:cstheme="minorBidi"/>
                    <w:b/>
                    <w:bCs/>
                    <w:color w:val="7F7F7F" w:themeColor="text1" w:themeTint="80"/>
                    <w:sz w:val="16"/>
                    <w:szCs w:val="16"/>
                    <w:lang w:val="fr-FR"/>
                  </w:rPr>
                  <w:drawing>
                    <wp:inline distT="0" distB="0" distL="0" distR="0">
                      <wp:extent cx="804734" cy="772485"/>
                      <wp:effectExtent l="19050" t="0" r="0" b="0"/>
                      <wp:docPr id="16" name="Image 7" descr="thTN03UO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TN03UOMK"/>
                              <pic:cNvPicPr>
                                <a:picLocks noChangeAspect="1" noChangeArrowheads="1"/>
                              </pic:cNvPicPr>
                            </pic:nvPicPr>
                            <pic:blipFill>
                              <a:blip r:embed="rId1"/>
                              <a:srcRect/>
                              <a:stretch>
                                <a:fillRect/>
                              </a:stretch>
                            </pic:blipFill>
                            <pic:spPr bwMode="auto">
                              <a:xfrm>
                                <a:off x="0" y="0"/>
                                <a:ext cx="807085" cy="774742"/>
                              </a:xfrm>
                              <a:prstGeom prst="rect">
                                <a:avLst/>
                              </a:prstGeom>
                              <a:noFill/>
                              <a:ln w="9525">
                                <a:noFill/>
                                <a:miter lim="800000"/>
                                <a:headEnd/>
                                <a:tailEnd/>
                              </a:ln>
                            </pic:spPr>
                          </pic:pic>
                        </a:graphicData>
                      </a:graphic>
                    </wp:inline>
                  </w:drawing>
                </w:r>
              </w:p>
              <w:p w:rsidR="00CF6937" w:rsidRPr="00CC5B72" w:rsidRDefault="00CF6937" w:rsidP="00CF6937">
                <w:pPr>
                  <w:pStyle w:val="En-tte"/>
                  <w:rPr>
                    <w:rFonts w:asciiTheme="minorBidi" w:hAnsiTheme="minorBidi" w:cstheme="minorBidi"/>
                    <w:b/>
                    <w:bCs/>
                    <w:sz w:val="14"/>
                    <w:szCs w:val="14"/>
                    <w:lang w:val="fr-FR"/>
                  </w:rPr>
                </w:pPr>
                <w:r w:rsidRPr="00CC5B72">
                  <w:rPr>
                    <w:rFonts w:asciiTheme="minorBidi" w:hAnsiTheme="minorBidi" w:cstheme="minorBidi"/>
                    <w:b/>
                    <w:bCs/>
                    <w:sz w:val="14"/>
                    <w:szCs w:val="14"/>
                    <w:lang w:val="fr-FR"/>
                  </w:rPr>
                  <w:t>République Tunisienne</w:t>
                </w:r>
              </w:p>
              <w:p w:rsidR="00CF6937" w:rsidRPr="00CC5B72" w:rsidRDefault="00CF6937" w:rsidP="00CF6937">
                <w:pPr>
                  <w:pStyle w:val="En-tte"/>
                  <w:tabs>
                    <w:tab w:val="left" w:pos="-284"/>
                  </w:tabs>
                  <w:rPr>
                    <w:rFonts w:asciiTheme="minorBidi" w:hAnsiTheme="minorBidi" w:cstheme="minorBidi"/>
                    <w:b/>
                    <w:bCs/>
                    <w:sz w:val="14"/>
                    <w:szCs w:val="14"/>
                    <w:lang w:val="fr-FR"/>
                  </w:rPr>
                </w:pPr>
                <w:r w:rsidRPr="00CC5B72">
                  <w:rPr>
                    <w:rFonts w:asciiTheme="minorBidi" w:hAnsiTheme="minorBidi" w:cstheme="minorBidi"/>
                    <w:b/>
                    <w:bCs/>
                    <w:sz w:val="14"/>
                    <w:szCs w:val="14"/>
                    <w:lang w:val="fr-FR"/>
                  </w:rPr>
                  <w:t>Ministère de la Formation Professionnelle  et de l’Emploi</w:t>
                </w:r>
              </w:p>
              <w:p w:rsidR="00CF6937" w:rsidRPr="0028037C" w:rsidRDefault="00CF6937" w:rsidP="00CF6937">
                <w:pPr>
                  <w:pStyle w:val="En-tte"/>
                  <w:tabs>
                    <w:tab w:val="left" w:pos="-284"/>
                  </w:tabs>
                  <w:rPr>
                    <w:rFonts w:asciiTheme="minorBidi" w:hAnsiTheme="minorBidi" w:cstheme="minorBidi"/>
                    <w:b/>
                    <w:bCs/>
                    <w:color w:val="7F7F7F" w:themeColor="text1" w:themeTint="80"/>
                    <w:sz w:val="12"/>
                    <w:szCs w:val="12"/>
                    <w:lang w:val="fr-FR"/>
                  </w:rPr>
                </w:pPr>
                <w:r w:rsidRPr="0028037C">
                  <w:rPr>
                    <w:rFonts w:ascii="Antique Olive Compact" w:hAnsi="Antique Olive Compact" w:cstheme="minorBidi"/>
                    <w:b/>
                    <w:bCs/>
                    <w:color w:val="7F7F7F" w:themeColor="text1" w:themeTint="80"/>
                    <w:sz w:val="14"/>
                    <w:szCs w:val="14"/>
                    <w:lang w:val="fr-FR"/>
                  </w:rPr>
                  <w:t>et de L’Emploi</w:t>
                </w:r>
              </w:p>
              <w:p w:rsidR="00CF6937" w:rsidRPr="0028037C" w:rsidRDefault="00CF6937" w:rsidP="00CF6937">
                <w:pPr>
                  <w:rPr>
                    <w:color w:val="7F7F7F" w:themeColor="text1" w:themeTint="80"/>
                    <w:lang w:val="fr-FR"/>
                  </w:rPr>
                </w:pPr>
              </w:p>
              <w:p w:rsidR="00CF6937" w:rsidRPr="0028037C" w:rsidRDefault="00CF6937" w:rsidP="00CF6937">
                <w:pPr>
                  <w:pStyle w:val="En-tte"/>
                  <w:ind w:left="-426" w:firstLine="142"/>
                  <w:rPr>
                    <w:rFonts w:ascii="Sakkal Majalla" w:hAnsi="Sakkal Majalla" w:cs="Sakkal Majalla"/>
                    <w:b/>
                    <w:bCs/>
                    <w:color w:val="7F7F7F" w:themeColor="text1" w:themeTint="80"/>
                    <w:sz w:val="24"/>
                    <w:szCs w:val="24"/>
                    <w:lang w:val="fr-FR"/>
                  </w:rPr>
                </w:pPr>
              </w:p>
            </w:txbxContent>
          </v:textbox>
        </v:shape>
      </w:pict>
    </w:r>
  </w:p>
  <w:p w:rsidR="00CF6937" w:rsidRDefault="00CF6937" w:rsidP="00CF6937">
    <w:pPr>
      <w:pStyle w:val="En-tte"/>
      <w:ind w:left="3261"/>
      <w:rPr>
        <w:b/>
        <w:color w:val="0092BB" w:themeColor="accent1"/>
        <w:sz w:val="18"/>
        <w:szCs w:val="18"/>
        <w:lang w:val="it-IT"/>
      </w:rPr>
    </w:pPr>
    <w:r>
      <w:rPr>
        <w:b/>
        <w:noProof/>
        <w:color w:val="0092BB" w:themeColor="accent1"/>
        <w:sz w:val="18"/>
        <w:szCs w:val="18"/>
        <w:lang w:val="fr-FR" w:eastAsia="fr-FR"/>
      </w:rPr>
      <w:drawing>
        <wp:anchor distT="0" distB="540385" distL="114300" distR="114300" simplePos="0" relativeHeight="251659264" behindDoc="0" locked="0" layoutInCell="1" allowOverlap="1">
          <wp:simplePos x="0" y="0"/>
          <wp:positionH relativeFrom="page">
            <wp:posOffset>653364</wp:posOffset>
          </wp:positionH>
          <wp:positionV relativeFrom="page">
            <wp:posOffset>700216</wp:posOffset>
          </wp:positionV>
          <wp:extent cx="2122787" cy="930876"/>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122787" cy="930876"/>
                  </a:xfrm>
                  <a:prstGeom prst="rect">
                    <a:avLst/>
                  </a:prstGeom>
                  <a:noFill/>
                  <a:ln w="9525">
                    <a:noFill/>
                    <a:miter lim="800000"/>
                    <a:headEnd/>
                    <a:tailEnd/>
                  </a:ln>
                </pic:spPr>
              </pic:pic>
            </a:graphicData>
          </a:graphic>
        </wp:anchor>
      </w:drawing>
    </w:r>
  </w:p>
  <w:p w:rsidR="00971563" w:rsidRPr="00E90AFD" w:rsidRDefault="00971563" w:rsidP="00CF6937">
    <w:pPr>
      <w:pStyle w:val="En-tte"/>
      <w:ind w:left="3261"/>
      <w:rPr>
        <w:color w:val="0092BB" w:themeColor="accent1"/>
        <w:sz w:val="18"/>
        <w:szCs w:val="18"/>
        <w:lang w:val="it-IT"/>
      </w:rPr>
    </w:pPr>
    <w:r w:rsidRPr="00E90AFD">
      <w:rPr>
        <w:b/>
        <w:color w:val="0092BB" w:themeColor="accent1"/>
        <w:sz w:val="18"/>
        <w:szCs w:val="18"/>
        <w:lang w:val="it-IT"/>
      </w:rPr>
      <w:t>ADDRESS</w:t>
    </w:r>
    <w:r w:rsidRPr="00E90AFD">
      <w:rPr>
        <w:color w:val="0092BB" w:themeColor="accent1"/>
        <w:sz w:val="18"/>
        <w:szCs w:val="18"/>
        <w:lang w:val="it-IT"/>
      </w:rPr>
      <w:t xml:space="preserve"> Villa Gualino,</w:t>
    </w:r>
  </w:p>
  <w:p w:rsidR="00971563" w:rsidRPr="00E90AFD" w:rsidRDefault="00971563" w:rsidP="00CF6937">
    <w:pPr>
      <w:pStyle w:val="En-tte"/>
      <w:ind w:left="3261"/>
      <w:rPr>
        <w:color w:val="0092BB" w:themeColor="accent1"/>
        <w:sz w:val="18"/>
        <w:szCs w:val="18"/>
        <w:lang w:val="it-IT"/>
      </w:rPr>
    </w:pPr>
    <w:r w:rsidRPr="00E90AFD">
      <w:rPr>
        <w:color w:val="0092BB" w:themeColor="accent1"/>
        <w:sz w:val="18"/>
        <w:szCs w:val="18"/>
        <w:lang w:val="it-IT"/>
      </w:rPr>
      <w:t>Viale Settimio Severo 65,</w:t>
    </w:r>
  </w:p>
  <w:p w:rsidR="00971563" w:rsidRPr="00E90AFD" w:rsidRDefault="00971563" w:rsidP="00CF6937">
    <w:pPr>
      <w:pStyle w:val="En-tte"/>
      <w:ind w:left="3261"/>
      <w:rPr>
        <w:color w:val="0092BB" w:themeColor="accent1"/>
        <w:sz w:val="18"/>
        <w:szCs w:val="18"/>
        <w:lang w:val="it-IT"/>
      </w:rPr>
    </w:pPr>
    <w:r w:rsidRPr="00E90AFD">
      <w:rPr>
        <w:color w:val="0092BB" w:themeColor="accent1"/>
        <w:sz w:val="18"/>
        <w:szCs w:val="18"/>
        <w:lang w:val="it-IT"/>
      </w:rPr>
      <w:t>I - 10133 Torino, Italy</w:t>
    </w:r>
  </w:p>
  <w:p w:rsidR="00971563" w:rsidRPr="00E90AFD" w:rsidRDefault="00971563" w:rsidP="00CF6937">
    <w:pPr>
      <w:pStyle w:val="En-tte"/>
      <w:ind w:left="3261"/>
      <w:rPr>
        <w:color w:val="0092BB" w:themeColor="accent1"/>
        <w:sz w:val="18"/>
        <w:szCs w:val="18"/>
        <w:lang w:val="it-IT"/>
      </w:rPr>
    </w:pPr>
  </w:p>
  <w:p w:rsidR="00971563" w:rsidRPr="00E90AFD" w:rsidRDefault="00971563" w:rsidP="00CF6937">
    <w:pPr>
      <w:pStyle w:val="En-tte"/>
      <w:ind w:left="3261"/>
      <w:rPr>
        <w:color w:val="0092BB" w:themeColor="accent1"/>
        <w:sz w:val="18"/>
        <w:szCs w:val="18"/>
        <w:lang w:val="it-IT"/>
      </w:rPr>
    </w:pPr>
    <w:r w:rsidRPr="00E90AFD">
      <w:rPr>
        <w:b/>
        <w:color w:val="0092BB" w:themeColor="accent1"/>
        <w:sz w:val="18"/>
        <w:szCs w:val="18"/>
        <w:lang w:val="it-IT"/>
      </w:rPr>
      <w:t>TEL</w:t>
    </w:r>
    <w:r w:rsidRPr="00E90AFD">
      <w:rPr>
        <w:color w:val="0092BB" w:themeColor="accent1"/>
        <w:sz w:val="18"/>
        <w:szCs w:val="18"/>
        <w:lang w:val="it-IT"/>
      </w:rPr>
      <w:t xml:space="preserve"> +39 011 630 2222</w:t>
    </w:r>
  </w:p>
  <w:p w:rsidR="00971563" w:rsidRPr="00E90AFD" w:rsidRDefault="00971563" w:rsidP="00CF6937">
    <w:pPr>
      <w:pStyle w:val="En-tte"/>
      <w:ind w:left="3261"/>
      <w:rPr>
        <w:color w:val="0092BB" w:themeColor="accent1"/>
        <w:sz w:val="18"/>
        <w:szCs w:val="18"/>
        <w:lang w:val="it-IT"/>
      </w:rPr>
    </w:pPr>
    <w:r w:rsidRPr="00E90AFD">
      <w:rPr>
        <w:b/>
        <w:color w:val="0092BB" w:themeColor="accent1"/>
        <w:sz w:val="18"/>
        <w:szCs w:val="18"/>
        <w:lang w:val="it-IT"/>
      </w:rPr>
      <w:t>EMAIL</w:t>
    </w:r>
    <w:r w:rsidRPr="00E90AFD">
      <w:rPr>
        <w:color w:val="0092BB" w:themeColor="accent1"/>
        <w:sz w:val="18"/>
        <w:szCs w:val="18"/>
        <w:lang w:val="it-IT"/>
      </w:rPr>
      <w:t xml:space="preserve"> info@etf.europa.eu</w:t>
    </w:r>
  </w:p>
  <w:p w:rsidR="00971563" w:rsidRDefault="00971563" w:rsidP="00CF6937">
    <w:pPr>
      <w:pStyle w:val="En-tte"/>
      <w:ind w:left="3261"/>
      <w:rPr>
        <w:color w:val="0092BB" w:themeColor="accent1"/>
        <w:sz w:val="18"/>
        <w:szCs w:val="18"/>
        <w:lang w:val="it-IT"/>
      </w:rPr>
    </w:pPr>
    <w:r>
      <w:rPr>
        <w:b/>
        <w:noProof/>
        <w:color w:val="0092BB" w:themeColor="accent1"/>
        <w:sz w:val="18"/>
        <w:szCs w:val="18"/>
        <w:lang w:val="fr-FR" w:eastAsia="fr-FR"/>
      </w:rPr>
      <w:drawing>
        <wp:anchor distT="0" distB="0" distL="114300" distR="114300" simplePos="0" relativeHeight="251668480" behindDoc="0" locked="0" layoutInCell="1" allowOverlap="1">
          <wp:simplePos x="0" y="0"/>
          <wp:positionH relativeFrom="page">
            <wp:posOffset>423309</wp:posOffset>
          </wp:positionH>
          <wp:positionV relativeFrom="page">
            <wp:posOffset>2054087</wp:posOffset>
          </wp:positionV>
          <wp:extent cx="6718937" cy="2848610"/>
          <wp:effectExtent l="19050" t="0" r="5713" b="0"/>
          <wp:wrapNone/>
          <wp:docPr id="1" name="Picture 1" descr="C:\Work\ETF\Design\Graphics\M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ETF\Design\Graphics\Memo.png"/>
                  <pic:cNvPicPr>
                    <a:picLocks noChangeAspect="1" noChangeArrowheads="1"/>
                  </pic:cNvPicPr>
                </pic:nvPicPr>
                <pic:blipFill>
                  <a:blip r:embed="rId3"/>
                  <a:stretch>
                    <a:fillRect/>
                  </a:stretch>
                </pic:blipFill>
                <pic:spPr bwMode="auto">
                  <a:xfrm>
                    <a:off x="0" y="0"/>
                    <a:ext cx="6718937" cy="2848610"/>
                  </a:xfrm>
                  <a:prstGeom prst="rect">
                    <a:avLst/>
                  </a:prstGeom>
                  <a:noFill/>
                  <a:ln w="9525">
                    <a:noFill/>
                    <a:miter lim="800000"/>
                    <a:headEnd/>
                    <a:tailEnd/>
                  </a:ln>
                </pic:spPr>
              </pic:pic>
            </a:graphicData>
          </a:graphic>
        </wp:anchor>
      </w:drawing>
    </w:r>
    <w:r w:rsidRPr="00E90AFD">
      <w:rPr>
        <w:b/>
        <w:color w:val="0092BB" w:themeColor="accent1"/>
        <w:sz w:val="18"/>
        <w:szCs w:val="18"/>
        <w:lang w:val="it-IT"/>
      </w:rPr>
      <w:t>WEB</w:t>
    </w:r>
    <w:r w:rsidRPr="00E90AFD">
      <w:rPr>
        <w:color w:val="0092BB" w:themeColor="accent1"/>
        <w:sz w:val="18"/>
        <w:szCs w:val="18"/>
        <w:lang w:val="it-IT"/>
      </w:rPr>
      <w:t xml:space="preserve"> www.etf.europa.eu</w:t>
    </w:r>
    <w:r w:rsidR="00CF6937">
      <w:rPr>
        <w:color w:val="0092BB" w:themeColor="accent1"/>
        <w:sz w:val="18"/>
        <w:szCs w:val="18"/>
        <w:lang w:val="it-IT"/>
      </w:rPr>
      <w:t xml:space="preserve"> </w:t>
    </w:r>
  </w:p>
  <w:p w:rsidR="00971563" w:rsidRDefault="00971563" w:rsidP="000B4A74">
    <w:pPr>
      <w:pStyle w:val="En-tte"/>
      <w:ind w:left="6804"/>
      <w:rPr>
        <w:color w:val="0092BB" w:themeColor="accent1"/>
        <w:sz w:val="18"/>
        <w:szCs w:val="18"/>
        <w:lang w:val="it-IT"/>
      </w:rPr>
    </w:pPr>
  </w:p>
  <w:p w:rsidR="00971563" w:rsidRDefault="00971563" w:rsidP="000B4A74">
    <w:pPr>
      <w:pStyle w:val="En-tte"/>
      <w:ind w:left="6804"/>
      <w:rPr>
        <w:color w:val="0092BB" w:themeColor="accent1"/>
        <w:sz w:val="18"/>
        <w:szCs w:val="18"/>
        <w:lang w:val="it-IT"/>
      </w:rPr>
    </w:pPr>
  </w:p>
  <w:p w:rsidR="00971563" w:rsidRDefault="00971563" w:rsidP="000B4A74">
    <w:pPr>
      <w:pStyle w:val="En-tte"/>
      <w:ind w:left="6804"/>
      <w:rPr>
        <w:color w:val="0092BB" w:themeColor="accent1"/>
        <w:sz w:val="18"/>
        <w:szCs w:val="18"/>
        <w:lang w:val="it-IT"/>
      </w:rPr>
    </w:pPr>
  </w:p>
  <w:p w:rsidR="00971563" w:rsidRDefault="00971563" w:rsidP="000B4A74">
    <w:pPr>
      <w:pStyle w:val="En-tte"/>
      <w:ind w:left="6804"/>
      <w:rPr>
        <w:color w:val="0092BB" w:themeColor="accent1"/>
        <w:sz w:val="18"/>
        <w:szCs w:val="18"/>
        <w:lang w:val="it-IT"/>
      </w:rPr>
    </w:pPr>
  </w:p>
  <w:p w:rsidR="00971563" w:rsidRPr="006821EF" w:rsidRDefault="00971563" w:rsidP="000B4A74">
    <w:pPr>
      <w:pStyle w:val="En-tte"/>
      <w:ind w:left="6804"/>
      <w:rPr>
        <w:color w:val="0092BB" w:themeColor="accent1"/>
        <w:sz w:val="16"/>
        <w:szCs w:val="18"/>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EE1A36"/>
    <w:lvl w:ilvl="0">
      <w:start w:val="1"/>
      <w:numFmt w:val="decimal"/>
      <w:lvlText w:val="%1."/>
      <w:lvlJc w:val="left"/>
      <w:pPr>
        <w:tabs>
          <w:tab w:val="num" w:pos="1492"/>
        </w:tabs>
        <w:ind w:left="1492" w:hanging="360"/>
      </w:pPr>
    </w:lvl>
  </w:abstractNum>
  <w:abstractNum w:abstractNumId="1">
    <w:nsid w:val="FFFFFF7D"/>
    <w:multiLevelType w:val="singleLevel"/>
    <w:tmpl w:val="951E1616"/>
    <w:lvl w:ilvl="0">
      <w:start w:val="1"/>
      <w:numFmt w:val="decimal"/>
      <w:lvlText w:val="%1."/>
      <w:lvlJc w:val="left"/>
      <w:pPr>
        <w:tabs>
          <w:tab w:val="num" w:pos="1209"/>
        </w:tabs>
        <w:ind w:left="1209" w:hanging="360"/>
      </w:pPr>
    </w:lvl>
  </w:abstractNum>
  <w:abstractNum w:abstractNumId="2">
    <w:nsid w:val="FFFFFF7E"/>
    <w:multiLevelType w:val="singleLevel"/>
    <w:tmpl w:val="472CC00E"/>
    <w:lvl w:ilvl="0">
      <w:start w:val="1"/>
      <w:numFmt w:val="decimal"/>
      <w:lvlText w:val="%1."/>
      <w:lvlJc w:val="left"/>
      <w:pPr>
        <w:tabs>
          <w:tab w:val="num" w:pos="926"/>
        </w:tabs>
        <w:ind w:left="926" w:hanging="360"/>
      </w:pPr>
    </w:lvl>
  </w:abstractNum>
  <w:abstractNum w:abstractNumId="3">
    <w:nsid w:val="FFFFFF7F"/>
    <w:multiLevelType w:val="singleLevel"/>
    <w:tmpl w:val="1D40691A"/>
    <w:lvl w:ilvl="0">
      <w:start w:val="1"/>
      <w:numFmt w:val="decimal"/>
      <w:pStyle w:val="Listenumros2"/>
      <w:lvlText w:val="%1."/>
      <w:lvlJc w:val="left"/>
      <w:pPr>
        <w:tabs>
          <w:tab w:val="num" w:pos="643"/>
        </w:tabs>
        <w:ind w:left="643" w:hanging="360"/>
      </w:pPr>
    </w:lvl>
  </w:abstractNum>
  <w:abstractNum w:abstractNumId="4">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420FA6"/>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83D64588"/>
    <w:lvl w:ilvl="0">
      <w:start w:val="1"/>
      <w:numFmt w:val="decimal"/>
      <w:pStyle w:val="Listenumros"/>
      <w:lvlText w:val="%1."/>
      <w:lvlJc w:val="left"/>
      <w:pPr>
        <w:tabs>
          <w:tab w:val="num" w:pos="360"/>
        </w:tabs>
        <w:ind w:left="360" w:hanging="360"/>
      </w:pPr>
    </w:lvl>
  </w:abstractNum>
  <w:abstractNum w:abstractNumId="9">
    <w:nsid w:val="FFFFFF89"/>
    <w:multiLevelType w:val="singleLevel"/>
    <w:tmpl w:val="F7340EB8"/>
    <w:lvl w:ilvl="0">
      <w:start w:val="1"/>
      <w:numFmt w:val="bullet"/>
      <w:lvlText w:val="■"/>
      <w:lvlJc w:val="left"/>
      <w:pPr>
        <w:tabs>
          <w:tab w:val="num" w:pos="360"/>
        </w:tabs>
        <w:ind w:left="360" w:hanging="360"/>
      </w:pPr>
      <w:rPr>
        <w:rFonts w:ascii="Arial" w:hAnsi="Arial" w:hint="default"/>
        <w:color w:val="66BED6" w:themeColor="accent2"/>
        <w:sz w:val="24"/>
      </w:rPr>
    </w:lvl>
  </w:abstractNum>
  <w:abstractNum w:abstractNumId="10">
    <w:nsid w:val="0AC555A1"/>
    <w:multiLevelType w:val="multilevel"/>
    <w:tmpl w:val="96C6D9B0"/>
    <w:lvl w:ilvl="0">
      <w:start w:val="13"/>
      <w:numFmt w:val="decimal"/>
      <w:lvlText w:val="%1"/>
      <w:lvlJc w:val="left"/>
      <w:pPr>
        <w:ind w:left="480" w:hanging="480"/>
      </w:pPr>
      <w:rPr>
        <w:rFonts w:hint="default"/>
      </w:rPr>
    </w:lvl>
    <w:lvl w:ilvl="1">
      <w:start w:val="45"/>
      <w:numFmt w:val="decimal"/>
      <w:lvlText w:val="%1.%2"/>
      <w:lvlJc w:val="left"/>
      <w:pPr>
        <w:ind w:left="514" w:hanging="48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
    <w:nsid w:val="1A9278FD"/>
    <w:multiLevelType w:val="hybridMultilevel"/>
    <w:tmpl w:val="75302A44"/>
    <w:lvl w:ilvl="0" w:tplc="A452663A">
      <w:start w:val="1"/>
      <w:numFmt w:val="bullet"/>
      <w:pStyle w:val="ETFBulletlevel1"/>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AA7D62"/>
    <w:multiLevelType w:val="multilevel"/>
    <w:tmpl w:val="D82CB46A"/>
    <w:lvl w:ilvl="0">
      <w:start w:val="12"/>
      <w:numFmt w:val="decimal"/>
      <w:lvlText w:val="%1.0"/>
      <w:lvlJc w:val="left"/>
      <w:pPr>
        <w:ind w:left="514" w:hanging="480"/>
      </w:pPr>
      <w:rPr>
        <w:rFonts w:hint="default"/>
      </w:rPr>
    </w:lvl>
    <w:lvl w:ilvl="1">
      <w:start w:val="1"/>
      <w:numFmt w:val="decimalZero"/>
      <w:lvlText w:val="%1.%2"/>
      <w:lvlJc w:val="left"/>
      <w:pPr>
        <w:ind w:left="1234"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14" w:hanging="720"/>
      </w:pPr>
      <w:rPr>
        <w:rFonts w:hint="default"/>
      </w:rPr>
    </w:lvl>
    <w:lvl w:ilvl="4">
      <w:start w:val="1"/>
      <w:numFmt w:val="decimal"/>
      <w:lvlText w:val="%1.%2.%3.%4.%5"/>
      <w:lvlJc w:val="left"/>
      <w:pPr>
        <w:ind w:left="3994" w:hanging="1080"/>
      </w:pPr>
      <w:rPr>
        <w:rFonts w:hint="default"/>
      </w:rPr>
    </w:lvl>
    <w:lvl w:ilvl="5">
      <w:start w:val="1"/>
      <w:numFmt w:val="decimal"/>
      <w:lvlText w:val="%1.%2.%3.%4.%5.%6"/>
      <w:lvlJc w:val="left"/>
      <w:pPr>
        <w:ind w:left="4714" w:hanging="1080"/>
      </w:pPr>
      <w:rPr>
        <w:rFonts w:hint="default"/>
      </w:rPr>
    </w:lvl>
    <w:lvl w:ilvl="6">
      <w:start w:val="1"/>
      <w:numFmt w:val="decimal"/>
      <w:lvlText w:val="%1.%2.%3.%4.%5.%6.%7"/>
      <w:lvlJc w:val="left"/>
      <w:pPr>
        <w:ind w:left="5794" w:hanging="1440"/>
      </w:pPr>
      <w:rPr>
        <w:rFonts w:hint="default"/>
      </w:rPr>
    </w:lvl>
    <w:lvl w:ilvl="7">
      <w:start w:val="1"/>
      <w:numFmt w:val="decimal"/>
      <w:lvlText w:val="%1.%2.%3.%4.%5.%6.%7.%8"/>
      <w:lvlJc w:val="left"/>
      <w:pPr>
        <w:ind w:left="6514" w:hanging="1440"/>
      </w:pPr>
      <w:rPr>
        <w:rFonts w:hint="default"/>
      </w:rPr>
    </w:lvl>
    <w:lvl w:ilvl="8">
      <w:start w:val="1"/>
      <w:numFmt w:val="decimal"/>
      <w:lvlText w:val="%1.%2.%3.%4.%5.%6.%7.%8.%9"/>
      <w:lvlJc w:val="left"/>
      <w:pPr>
        <w:ind w:left="7594" w:hanging="1800"/>
      </w:pPr>
      <w:rPr>
        <w:rFonts w:hint="default"/>
      </w:rPr>
    </w:lvl>
  </w:abstractNum>
  <w:abstractNum w:abstractNumId="14">
    <w:nsid w:val="47DE4899"/>
    <w:multiLevelType w:val="hybridMultilevel"/>
    <w:tmpl w:val="1DB4CDD4"/>
    <w:lvl w:ilvl="0" w:tplc="F9585B62">
      <w:start w:val="1"/>
      <w:numFmt w:val="bullet"/>
      <w:lvlText w:val=""/>
      <w:lvlJc w:val="left"/>
      <w:pPr>
        <w:ind w:left="720" w:hanging="360"/>
      </w:pPr>
      <w:rPr>
        <w:rFonts w:ascii="Wingdings" w:hAnsi="Wingdings" w:hint="default"/>
        <w:color w:val="66BED6"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07086B"/>
    <w:multiLevelType w:val="hybridMultilevel"/>
    <w:tmpl w:val="DA4C1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6"/>
  </w:num>
  <w:num w:numId="4">
    <w:abstractNumId w:val="15"/>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2"/>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8"/>
  </w:num>
  <w:num w:numId="33">
    <w:abstractNumId w:val="10"/>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425"/>
  <w:drawingGridHorizontalSpacing w:val="100"/>
  <w:displayHorizontalDrawingGridEvery w:val="2"/>
  <w:characterSpacingControl w:val="doNotCompress"/>
  <w:hdrShapeDefaults>
    <o:shapedefaults v:ext="edit" spidmax="13314"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6"/>
    </o:shapelayout>
  </w:hdrShapeDefaults>
  <w:footnotePr>
    <w:footnote w:id="0"/>
    <w:footnote w:id="1"/>
  </w:footnotePr>
  <w:endnotePr>
    <w:endnote w:id="0"/>
    <w:endnote w:id="1"/>
  </w:endnotePr>
  <w:compat/>
  <w:docVars>
    <w:docVar w:name="DocOfficeAddress_Save" w:val=" "/>
  </w:docVars>
  <w:rsids>
    <w:rsidRoot w:val="00C8261E"/>
    <w:rsid w:val="00001D0F"/>
    <w:rsid w:val="000042F5"/>
    <w:rsid w:val="00026575"/>
    <w:rsid w:val="000266BC"/>
    <w:rsid w:val="00034C11"/>
    <w:rsid w:val="0003579C"/>
    <w:rsid w:val="00040787"/>
    <w:rsid w:val="00041F56"/>
    <w:rsid w:val="000547D7"/>
    <w:rsid w:val="0006062B"/>
    <w:rsid w:val="00076EE6"/>
    <w:rsid w:val="0009004C"/>
    <w:rsid w:val="0009334B"/>
    <w:rsid w:val="00094769"/>
    <w:rsid w:val="000B4A74"/>
    <w:rsid w:val="000D0C73"/>
    <w:rsid w:val="000E1890"/>
    <w:rsid w:val="001239FE"/>
    <w:rsid w:val="00127B57"/>
    <w:rsid w:val="0013658F"/>
    <w:rsid w:val="00143F62"/>
    <w:rsid w:val="00145483"/>
    <w:rsid w:val="00160121"/>
    <w:rsid w:val="00161963"/>
    <w:rsid w:val="00162576"/>
    <w:rsid w:val="00175E26"/>
    <w:rsid w:val="001760DB"/>
    <w:rsid w:val="0018091D"/>
    <w:rsid w:val="001853FD"/>
    <w:rsid w:val="001902D4"/>
    <w:rsid w:val="001945E3"/>
    <w:rsid w:val="001A2C75"/>
    <w:rsid w:val="001A33C0"/>
    <w:rsid w:val="001C0C37"/>
    <w:rsid w:val="001C6D53"/>
    <w:rsid w:val="001D53D0"/>
    <w:rsid w:val="001D787B"/>
    <w:rsid w:val="001E328F"/>
    <w:rsid w:val="001E58DB"/>
    <w:rsid w:val="00202791"/>
    <w:rsid w:val="00210DDE"/>
    <w:rsid w:val="00222DCD"/>
    <w:rsid w:val="002241B3"/>
    <w:rsid w:val="00237EF9"/>
    <w:rsid w:val="00243571"/>
    <w:rsid w:val="0025182E"/>
    <w:rsid w:val="0026323C"/>
    <w:rsid w:val="00273FED"/>
    <w:rsid w:val="002777A9"/>
    <w:rsid w:val="00293493"/>
    <w:rsid w:val="002A7743"/>
    <w:rsid w:val="002A7978"/>
    <w:rsid w:val="002B7285"/>
    <w:rsid w:val="002C698B"/>
    <w:rsid w:val="002D327C"/>
    <w:rsid w:val="002D5B3F"/>
    <w:rsid w:val="002E3F12"/>
    <w:rsid w:val="002F0826"/>
    <w:rsid w:val="00305AD0"/>
    <w:rsid w:val="00305E02"/>
    <w:rsid w:val="00310F37"/>
    <w:rsid w:val="00322288"/>
    <w:rsid w:val="0032309D"/>
    <w:rsid w:val="003241C0"/>
    <w:rsid w:val="0032577B"/>
    <w:rsid w:val="003376F1"/>
    <w:rsid w:val="00346FF9"/>
    <w:rsid w:val="003476C9"/>
    <w:rsid w:val="00351D9C"/>
    <w:rsid w:val="003706EB"/>
    <w:rsid w:val="00372ED9"/>
    <w:rsid w:val="003756EE"/>
    <w:rsid w:val="00375900"/>
    <w:rsid w:val="003840D7"/>
    <w:rsid w:val="00384DFC"/>
    <w:rsid w:val="00385383"/>
    <w:rsid w:val="0039025F"/>
    <w:rsid w:val="003A1289"/>
    <w:rsid w:val="003A23C3"/>
    <w:rsid w:val="003A5402"/>
    <w:rsid w:val="003A6574"/>
    <w:rsid w:val="003A659F"/>
    <w:rsid w:val="003B3EE8"/>
    <w:rsid w:val="003C42DB"/>
    <w:rsid w:val="003C7911"/>
    <w:rsid w:val="003D7B0F"/>
    <w:rsid w:val="003E6DB7"/>
    <w:rsid w:val="003F2DEE"/>
    <w:rsid w:val="003F68C3"/>
    <w:rsid w:val="00447892"/>
    <w:rsid w:val="00454B4B"/>
    <w:rsid w:val="00455DC5"/>
    <w:rsid w:val="004669E1"/>
    <w:rsid w:val="00470F22"/>
    <w:rsid w:val="0049094C"/>
    <w:rsid w:val="00492A43"/>
    <w:rsid w:val="004B1B7B"/>
    <w:rsid w:val="004B5928"/>
    <w:rsid w:val="004C0BDE"/>
    <w:rsid w:val="004C1472"/>
    <w:rsid w:val="004C2551"/>
    <w:rsid w:val="004D2028"/>
    <w:rsid w:val="004D73F2"/>
    <w:rsid w:val="004E0EA3"/>
    <w:rsid w:val="004F7BD5"/>
    <w:rsid w:val="00514A2A"/>
    <w:rsid w:val="00523390"/>
    <w:rsid w:val="005346EF"/>
    <w:rsid w:val="00535083"/>
    <w:rsid w:val="00536827"/>
    <w:rsid w:val="00537132"/>
    <w:rsid w:val="00537F6D"/>
    <w:rsid w:val="005406F5"/>
    <w:rsid w:val="00542C57"/>
    <w:rsid w:val="00551227"/>
    <w:rsid w:val="005513EB"/>
    <w:rsid w:val="00551A66"/>
    <w:rsid w:val="00566B9F"/>
    <w:rsid w:val="0056786B"/>
    <w:rsid w:val="00572C45"/>
    <w:rsid w:val="00574008"/>
    <w:rsid w:val="005810A5"/>
    <w:rsid w:val="0059632F"/>
    <w:rsid w:val="00596488"/>
    <w:rsid w:val="005A0A3A"/>
    <w:rsid w:val="005A616D"/>
    <w:rsid w:val="005B69D1"/>
    <w:rsid w:val="005D02B9"/>
    <w:rsid w:val="005D4C85"/>
    <w:rsid w:val="005D79EA"/>
    <w:rsid w:val="005E1F67"/>
    <w:rsid w:val="005E23A1"/>
    <w:rsid w:val="005E5F6F"/>
    <w:rsid w:val="006020CF"/>
    <w:rsid w:val="006022EC"/>
    <w:rsid w:val="00620951"/>
    <w:rsid w:val="006211C5"/>
    <w:rsid w:val="00624FF9"/>
    <w:rsid w:val="00640EC2"/>
    <w:rsid w:val="00653E70"/>
    <w:rsid w:val="0065490A"/>
    <w:rsid w:val="00673851"/>
    <w:rsid w:val="006821EF"/>
    <w:rsid w:val="00682893"/>
    <w:rsid w:val="006865F7"/>
    <w:rsid w:val="00687CA0"/>
    <w:rsid w:val="00690BC2"/>
    <w:rsid w:val="00696223"/>
    <w:rsid w:val="006A1ACD"/>
    <w:rsid w:val="006A5043"/>
    <w:rsid w:val="006B21CD"/>
    <w:rsid w:val="006B4120"/>
    <w:rsid w:val="006D34D9"/>
    <w:rsid w:val="006E10D9"/>
    <w:rsid w:val="006E18B9"/>
    <w:rsid w:val="00700D0F"/>
    <w:rsid w:val="00710EBF"/>
    <w:rsid w:val="00731269"/>
    <w:rsid w:val="007344AD"/>
    <w:rsid w:val="00740B76"/>
    <w:rsid w:val="00742C4D"/>
    <w:rsid w:val="00754E6B"/>
    <w:rsid w:val="00756981"/>
    <w:rsid w:val="007607FF"/>
    <w:rsid w:val="00760E17"/>
    <w:rsid w:val="00764539"/>
    <w:rsid w:val="0077204E"/>
    <w:rsid w:val="00777A2B"/>
    <w:rsid w:val="007913BB"/>
    <w:rsid w:val="0079461C"/>
    <w:rsid w:val="007C59C3"/>
    <w:rsid w:val="007D176A"/>
    <w:rsid w:val="007D1F87"/>
    <w:rsid w:val="007E3F4A"/>
    <w:rsid w:val="008033CE"/>
    <w:rsid w:val="00804E22"/>
    <w:rsid w:val="0082168C"/>
    <w:rsid w:val="00841B84"/>
    <w:rsid w:val="008420E2"/>
    <w:rsid w:val="008515C5"/>
    <w:rsid w:val="00852726"/>
    <w:rsid w:val="008529AE"/>
    <w:rsid w:val="0087055B"/>
    <w:rsid w:val="0087336F"/>
    <w:rsid w:val="0089222B"/>
    <w:rsid w:val="008A35B8"/>
    <w:rsid w:val="008A4A77"/>
    <w:rsid w:val="008B5EBF"/>
    <w:rsid w:val="008C0B28"/>
    <w:rsid w:val="008D4869"/>
    <w:rsid w:val="008D69D0"/>
    <w:rsid w:val="008E7353"/>
    <w:rsid w:val="008E7E2C"/>
    <w:rsid w:val="00900E8E"/>
    <w:rsid w:val="0091161B"/>
    <w:rsid w:val="00912964"/>
    <w:rsid w:val="009143CA"/>
    <w:rsid w:val="00914F63"/>
    <w:rsid w:val="0091588F"/>
    <w:rsid w:val="0092797E"/>
    <w:rsid w:val="009417F6"/>
    <w:rsid w:val="00964316"/>
    <w:rsid w:val="00971563"/>
    <w:rsid w:val="0097566B"/>
    <w:rsid w:val="00977737"/>
    <w:rsid w:val="0098315F"/>
    <w:rsid w:val="00984A41"/>
    <w:rsid w:val="00992B65"/>
    <w:rsid w:val="009A2BD8"/>
    <w:rsid w:val="009A3993"/>
    <w:rsid w:val="009C6528"/>
    <w:rsid w:val="009E3DA7"/>
    <w:rsid w:val="009F4DC0"/>
    <w:rsid w:val="00A02C70"/>
    <w:rsid w:val="00A11BF7"/>
    <w:rsid w:val="00A13093"/>
    <w:rsid w:val="00A131EC"/>
    <w:rsid w:val="00A13658"/>
    <w:rsid w:val="00A2430B"/>
    <w:rsid w:val="00A30831"/>
    <w:rsid w:val="00A31CF9"/>
    <w:rsid w:val="00A34D4F"/>
    <w:rsid w:val="00A369D0"/>
    <w:rsid w:val="00A371D5"/>
    <w:rsid w:val="00A52BEA"/>
    <w:rsid w:val="00A54F7B"/>
    <w:rsid w:val="00A603B6"/>
    <w:rsid w:val="00A62ADB"/>
    <w:rsid w:val="00A71308"/>
    <w:rsid w:val="00A72989"/>
    <w:rsid w:val="00A872E5"/>
    <w:rsid w:val="00AA38CE"/>
    <w:rsid w:val="00AA5D17"/>
    <w:rsid w:val="00AA61AD"/>
    <w:rsid w:val="00AD02B3"/>
    <w:rsid w:val="00AD6421"/>
    <w:rsid w:val="00AF1F77"/>
    <w:rsid w:val="00AF3F02"/>
    <w:rsid w:val="00B00F4E"/>
    <w:rsid w:val="00B10964"/>
    <w:rsid w:val="00B3301B"/>
    <w:rsid w:val="00B33CB2"/>
    <w:rsid w:val="00B358AA"/>
    <w:rsid w:val="00B45532"/>
    <w:rsid w:val="00B4640C"/>
    <w:rsid w:val="00B5229B"/>
    <w:rsid w:val="00B55531"/>
    <w:rsid w:val="00B57E2E"/>
    <w:rsid w:val="00B670E0"/>
    <w:rsid w:val="00B75E22"/>
    <w:rsid w:val="00B77D4B"/>
    <w:rsid w:val="00B83505"/>
    <w:rsid w:val="00B86BB7"/>
    <w:rsid w:val="00BA1114"/>
    <w:rsid w:val="00BA74D2"/>
    <w:rsid w:val="00BB66B1"/>
    <w:rsid w:val="00BB7C0B"/>
    <w:rsid w:val="00BC282D"/>
    <w:rsid w:val="00BC7E2C"/>
    <w:rsid w:val="00BE1B73"/>
    <w:rsid w:val="00BE3425"/>
    <w:rsid w:val="00BE4712"/>
    <w:rsid w:val="00BE4D7D"/>
    <w:rsid w:val="00BE4DE4"/>
    <w:rsid w:val="00BE5E09"/>
    <w:rsid w:val="00BF01DE"/>
    <w:rsid w:val="00C07E48"/>
    <w:rsid w:val="00C10C14"/>
    <w:rsid w:val="00C16527"/>
    <w:rsid w:val="00C176AC"/>
    <w:rsid w:val="00C30B41"/>
    <w:rsid w:val="00C41F81"/>
    <w:rsid w:val="00C437BE"/>
    <w:rsid w:val="00C4410B"/>
    <w:rsid w:val="00C4471B"/>
    <w:rsid w:val="00C458CC"/>
    <w:rsid w:val="00C6464E"/>
    <w:rsid w:val="00C703B4"/>
    <w:rsid w:val="00C779AA"/>
    <w:rsid w:val="00C8261E"/>
    <w:rsid w:val="00C95C1D"/>
    <w:rsid w:val="00CA1074"/>
    <w:rsid w:val="00CA7156"/>
    <w:rsid w:val="00CB3B03"/>
    <w:rsid w:val="00CC5952"/>
    <w:rsid w:val="00CD5493"/>
    <w:rsid w:val="00CE062F"/>
    <w:rsid w:val="00CE14B5"/>
    <w:rsid w:val="00CF1BCE"/>
    <w:rsid w:val="00CF6937"/>
    <w:rsid w:val="00D07091"/>
    <w:rsid w:val="00D107DE"/>
    <w:rsid w:val="00D14B8A"/>
    <w:rsid w:val="00D17CDA"/>
    <w:rsid w:val="00D40724"/>
    <w:rsid w:val="00D4110D"/>
    <w:rsid w:val="00D448F6"/>
    <w:rsid w:val="00D556CD"/>
    <w:rsid w:val="00D55D3A"/>
    <w:rsid w:val="00D64BB7"/>
    <w:rsid w:val="00D70330"/>
    <w:rsid w:val="00D72741"/>
    <w:rsid w:val="00D7358B"/>
    <w:rsid w:val="00D82B68"/>
    <w:rsid w:val="00D92995"/>
    <w:rsid w:val="00DA25EA"/>
    <w:rsid w:val="00DB5D6E"/>
    <w:rsid w:val="00DB6F71"/>
    <w:rsid w:val="00DD3867"/>
    <w:rsid w:val="00DE3B05"/>
    <w:rsid w:val="00E20362"/>
    <w:rsid w:val="00E32586"/>
    <w:rsid w:val="00E36268"/>
    <w:rsid w:val="00E405FE"/>
    <w:rsid w:val="00E44AC7"/>
    <w:rsid w:val="00E44B36"/>
    <w:rsid w:val="00E507C4"/>
    <w:rsid w:val="00E53BF6"/>
    <w:rsid w:val="00E57775"/>
    <w:rsid w:val="00E65991"/>
    <w:rsid w:val="00E812CA"/>
    <w:rsid w:val="00E872A1"/>
    <w:rsid w:val="00E8773A"/>
    <w:rsid w:val="00E90AFD"/>
    <w:rsid w:val="00EA65AD"/>
    <w:rsid w:val="00ED5899"/>
    <w:rsid w:val="00ED67FD"/>
    <w:rsid w:val="00EE06C2"/>
    <w:rsid w:val="00EF162A"/>
    <w:rsid w:val="00EF2D3B"/>
    <w:rsid w:val="00EF4E32"/>
    <w:rsid w:val="00EF606E"/>
    <w:rsid w:val="00EF655B"/>
    <w:rsid w:val="00F0013D"/>
    <w:rsid w:val="00F04F9D"/>
    <w:rsid w:val="00F1280A"/>
    <w:rsid w:val="00F23F5E"/>
    <w:rsid w:val="00F25E90"/>
    <w:rsid w:val="00F26333"/>
    <w:rsid w:val="00F2795D"/>
    <w:rsid w:val="00F34291"/>
    <w:rsid w:val="00F3508B"/>
    <w:rsid w:val="00F43143"/>
    <w:rsid w:val="00F536E2"/>
    <w:rsid w:val="00F55B5B"/>
    <w:rsid w:val="00F6108F"/>
    <w:rsid w:val="00F62A99"/>
    <w:rsid w:val="00F666F5"/>
    <w:rsid w:val="00F71E3B"/>
    <w:rsid w:val="00F82C33"/>
    <w:rsid w:val="00F905FC"/>
    <w:rsid w:val="00F90CA2"/>
    <w:rsid w:val="00F973CC"/>
    <w:rsid w:val="00F97DB2"/>
    <w:rsid w:val="00FA7F3C"/>
    <w:rsid w:val="00FB4B45"/>
    <w:rsid w:val="00FD6818"/>
    <w:rsid w:val="00FF6CD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27"/>
    <w:pPr>
      <w:spacing w:line="240" w:lineRule="auto"/>
    </w:pPr>
    <w:rPr>
      <w:rFonts w:ascii="Arial" w:hAnsi="Arial" w:cs="Arial"/>
      <w:sz w:val="20"/>
      <w:szCs w:val="20"/>
    </w:rPr>
  </w:style>
  <w:style w:type="paragraph" w:styleId="Titre1">
    <w:name w:val="heading 1"/>
    <w:basedOn w:val="Normal"/>
    <w:next w:val="Titre2"/>
    <w:link w:val="Titre1Car"/>
    <w:uiPriority w:val="9"/>
    <w:qFormat/>
    <w:rsid w:val="008B5EBF"/>
    <w:pPr>
      <w:keepNext/>
      <w:keepLines/>
      <w:spacing w:before="60" w:after="480"/>
      <w:outlineLvl w:val="0"/>
    </w:pPr>
    <w:rPr>
      <w:rFonts w:eastAsiaTheme="majorEastAsia" w:cstheme="majorBidi"/>
      <w:b/>
      <w:bCs/>
      <w:caps/>
      <w:color w:val="0092BB" w:themeColor="accent1"/>
      <w:spacing w:val="-40"/>
      <w:sz w:val="86"/>
      <w:szCs w:val="28"/>
    </w:rPr>
  </w:style>
  <w:style w:type="paragraph" w:styleId="Titre2">
    <w:name w:val="heading 2"/>
    <w:basedOn w:val="Normal"/>
    <w:next w:val="Normal"/>
    <w:link w:val="Titre2Car"/>
    <w:uiPriority w:val="9"/>
    <w:unhideWhenUsed/>
    <w:qFormat/>
    <w:rsid w:val="0089222B"/>
    <w:pPr>
      <w:keepNext/>
      <w:keepLines/>
      <w:spacing w:before="200"/>
      <w:outlineLvl w:val="1"/>
    </w:pPr>
    <w:rPr>
      <w:rFonts w:eastAsiaTheme="majorEastAsia" w:cstheme="majorBidi"/>
      <w:b/>
      <w:bCs/>
      <w:caps/>
      <w:color w:val="66BED6" w:themeColor="accent2"/>
      <w:sz w:val="28"/>
      <w:szCs w:val="26"/>
    </w:rPr>
  </w:style>
  <w:style w:type="paragraph" w:styleId="Titre3">
    <w:name w:val="heading 3"/>
    <w:basedOn w:val="Normal"/>
    <w:next w:val="Normal"/>
    <w:link w:val="Titre3Car"/>
    <w:uiPriority w:val="9"/>
    <w:unhideWhenUsed/>
    <w:qFormat/>
    <w:rsid w:val="00B75E22"/>
    <w:pPr>
      <w:keepNext/>
      <w:keepLines/>
      <w:spacing w:after="0"/>
      <w:outlineLvl w:val="2"/>
    </w:pPr>
    <w:rPr>
      <w:rFonts w:eastAsiaTheme="majorEastAsia"/>
      <w:bCs/>
      <w:color w:val="0092BB"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75E22"/>
    <w:rPr>
      <w:rFonts w:ascii="Arial" w:eastAsiaTheme="majorEastAsia" w:hAnsi="Arial" w:cs="Arial"/>
      <w:bCs/>
      <w:color w:val="0092BB" w:themeColor="accent1"/>
      <w:sz w:val="20"/>
      <w:szCs w:val="20"/>
    </w:rPr>
  </w:style>
  <w:style w:type="paragraph" w:styleId="Normalcentr">
    <w:name w:val="Block Text"/>
    <w:basedOn w:val="Normal"/>
    <w:uiPriority w:val="99"/>
    <w:semiHidden/>
    <w:unhideWhenUsed/>
    <w:rsid w:val="001A2C75"/>
    <w:pPr>
      <w:pBdr>
        <w:top w:val="single" w:sz="2" w:space="10" w:color="0092BB" w:themeColor="accent1" w:shadow="1" w:frame="1"/>
        <w:left w:val="single" w:sz="2" w:space="10" w:color="0092BB" w:themeColor="accent1" w:shadow="1" w:frame="1"/>
        <w:bottom w:val="single" w:sz="2" w:space="10" w:color="0092BB" w:themeColor="accent1" w:shadow="1" w:frame="1"/>
        <w:right w:val="single" w:sz="2" w:space="10" w:color="0092BB" w:themeColor="accent1" w:shadow="1" w:frame="1"/>
      </w:pBdr>
      <w:ind w:left="1152" w:right="1152"/>
    </w:pPr>
    <w:rPr>
      <w:rFonts w:eastAsiaTheme="minorEastAsia"/>
      <w:i/>
      <w:iCs/>
      <w:color w:val="0092BB" w:themeColor="accent1"/>
    </w:rPr>
  </w:style>
  <w:style w:type="paragraph" w:styleId="Corpsdetexte">
    <w:name w:val="Body Text"/>
    <w:basedOn w:val="Normal"/>
    <w:link w:val="CorpsdetexteCar"/>
    <w:uiPriority w:val="99"/>
    <w:unhideWhenUsed/>
    <w:rsid w:val="001853FD"/>
    <w:pPr>
      <w:spacing w:line="288" w:lineRule="auto"/>
    </w:pPr>
    <w:rPr>
      <w:color w:val="616264"/>
    </w:rPr>
  </w:style>
  <w:style w:type="character" w:customStyle="1" w:styleId="CorpsdetexteCar">
    <w:name w:val="Corps de texte Car"/>
    <w:basedOn w:val="Policepardfaut"/>
    <w:link w:val="Corpsdetexte"/>
    <w:uiPriority w:val="99"/>
    <w:rsid w:val="001853FD"/>
    <w:rPr>
      <w:rFonts w:ascii="Arial" w:hAnsi="Arial" w:cs="Arial"/>
      <w:color w:val="616264"/>
      <w:sz w:val="20"/>
      <w:szCs w:val="20"/>
    </w:rPr>
  </w:style>
  <w:style w:type="character" w:customStyle="1" w:styleId="Titre1Car">
    <w:name w:val="Titre 1 Car"/>
    <w:basedOn w:val="Policepardfaut"/>
    <w:link w:val="Titre1"/>
    <w:uiPriority w:val="9"/>
    <w:rsid w:val="008B5EBF"/>
    <w:rPr>
      <w:rFonts w:ascii="Arial" w:eastAsiaTheme="majorEastAsia" w:hAnsi="Arial" w:cstheme="majorBidi"/>
      <w:b/>
      <w:bCs/>
      <w:caps/>
      <w:color w:val="0092BB" w:themeColor="accent1"/>
      <w:spacing w:val="-40"/>
      <w:sz w:val="86"/>
      <w:szCs w:val="28"/>
    </w:rPr>
  </w:style>
  <w:style w:type="character" w:customStyle="1" w:styleId="Titre2Car">
    <w:name w:val="Titre 2 Car"/>
    <w:basedOn w:val="Policepardfaut"/>
    <w:link w:val="Titre2"/>
    <w:uiPriority w:val="9"/>
    <w:rsid w:val="0089222B"/>
    <w:rPr>
      <w:rFonts w:ascii="Arial" w:eastAsiaTheme="majorEastAsia" w:hAnsi="Arial" w:cstheme="majorBidi"/>
      <w:b/>
      <w:bCs/>
      <w:caps/>
      <w:color w:val="66BED6" w:themeColor="accent2"/>
      <w:sz w:val="28"/>
      <w:szCs w:val="26"/>
    </w:rPr>
  </w:style>
  <w:style w:type="paragraph" w:styleId="Paragraphedeliste">
    <w:name w:val="List Paragraph"/>
    <w:basedOn w:val="Normal"/>
    <w:uiPriority w:val="99"/>
    <w:qFormat/>
    <w:rsid w:val="00175E26"/>
    <w:pPr>
      <w:ind w:left="720"/>
      <w:contextualSpacing/>
    </w:pPr>
  </w:style>
  <w:style w:type="paragraph" w:styleId="Textedebulles">
    <w:name w:val="Balloon Text"/>
    <w:basedOn w:val="Normal"/>
    <w:link w:val="TextedebullesCar"/>
    <w:uiPriority w:val="99"/>
    <w:semiHidden/>
    <w:unhideWhenUsed/>
    <w:rsid w:val="00237EF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37EF9"/>
    <w:rPr>
      <w:rFonts w:ascii="Tahoma" w:hAnsi="Tahoma" w:cs="Tahoma"/>
      <w:color w:val="616264"/>
      <w:sz w:val="16"/>
      <w:szCs w:val="16"/>
    </w:rPr>
  </w:style>
  <w:style w:type="paragraph" w:styleId="En-tte">
    <w:name w:val="header"/>
    <w:basedOn w:val="Normal"/>
    <w:link w:val="En-tteCar"/>
    <w:uiPriority w:val="99"/>
    <w:unhideWhenUsed/>
    <w:rsid w:val="004F7BD5"/>
    <w:pPr>
      <w:tabs>
        <w:tab w:val="center" w:pos="4513"/>
        <w:tab w:val="right" w:pos="9026"/>
      </w:tabs>
      <w:spacing w:after="0"/>
    </w:pPr>
  </w:style>
  <w:style w:type="character" w:customStyle="1" w:styleId="En-tteCar">
    <w:name w:val="En-tête Car"/>
    <w:basedOn w:val="Policepardfaut"/>
    <w:link w:val="En-tte"/>
    <w:uiPriority w:val="99"/>
    <w:rsid w:val="004F7BD5"/>
    <w:rPr>
      <w:rFonts w:ascii="Arial" w:hAnsi="Arial" w:cs="Arial"/>
      <w:color w:val="616264"/>
      <w:sz w:val="20"/>
      <w:szCs w:val="20"/>
    </w:rPr>
  </w:style>
  <w:style w:type="paragraph" w:styleId="Pieddepage">
    <w:name w:val="footer"/>
    <w:basedOn w:val="Normal"/>
    <w:link w:val="PieddepageCar"/>
    <w:uiPriority w:val="99"/>
    <w:unhideWhenUsed/>
    <w:rsid w:val="0089222B"/>
    <w:pPr>
      <w:spacing w:after="0"/>
      <w:jc w:val="right"/>
    </w:pPr>
    <w:rPr>
      <w:color w:val="FFFFFF" w:themeColor="background1"/>
      <w:sz w:val="22"/>
      <w:szCs w:val="22"/>
    </w:rPr>
  </w:style>
  <w:style w:type="character" w:customStyle="1" w:styleId="PieddepageCar">
    <w:name w:val="Pied de page Car"/>
    <w:basedOn w:val="Policepardfaut"/>
    <w:link w:val="Pieddepage"/>
    <w:uiPriority w:val="99"/>
    <w:rsid w:val="0089222B"/>
    <w:rPr>
      <w:rFonts w:ascii="Arial" w:hAnsi="Arial" w:cs="Arial"/>
      <w:color w:val="FFFFFF" w:themeColor="background1"/>
    </w:rPr>
  </w:style>
  <w:style w:type="table" w:styleId="Grilledutableau">
    <w:name w:val="Table Grid"/>
    <w:basedOn w:val="TableauNormal"/>
    <w:uiPriority w:val="59"/>
    <w:rsid w:val="00384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 text Char"/>
    <w:basedOn w:val="Policepardfaut"/>
    <w:link w:val="Tabletext"/>
    <w:rsid w:val="0009004C"/>
    <w:rPr>
      <w:rFonts w:ascii="Arial" w:hAnsi="Arial" w:cs="Arial"/>
      <w:color w:val="616264"/>
      <w:sz w:val="20"/>
      <w:szCs w:val="20"/>
    </w:rPr>
  </w:style>
  <w:style w:type="paragraph" w:customStyle="1" w:styleId="Tabletext">
    <w:name w:val="Table text"/>
    <w:basedOn w:val="Normal"/>
    <w:link w:val="TabletextChar"/>
    <w:qFormat/>
    <w:rsid w:val="0009004C"/>
    <w:pPr>
      <w:spacing w:after="0"/>
      <w:jc w:val="center"/>
    </w:pPr>
    <w:rPr>
      <w:color w:val="616264"/>
    </w:rPr>
  </w:style>
  <w:style w:type="paragraph" w:customStyle="1" w:styleId="TableHeader">
    <w:name w:val="Table Header"/>
    <w:basedOn w:val="Tabletext"/>
    <w:link w:val="TableHeaderChar"/>
    <w:qFormat/>
    <w:rsid w:val="003F68C3"/>
    <w:rPr>
      <w:color w:val="FFFFFF" w:themeColor="background1"/>
      <w:sz w:val="22"/>
    </w:rPr>
  </w:style>
  <w:style w:type="paragraph" w:customStyle="1" w:styleId="Tablefirstcolumn">
    <w:name w:val="Table first column"/>
    <w:link w:val="TablefirstcolumnChar"/>
    <w:qFormat/>
    <w:rsid w:val="003F68C3"/>
    <w:pPr>
      <w:spacing w:after="0" w:line="240" w:lineRule="auto"/>
      <w:jc w:val="center"/>
    </w:pPr>
    <w:rPr>
      <w:rFonts w:ascii="Arial" w:hAnsi="Arial" w:cs="Arial"/>
      <w:color w:val="0393BC"/>
      <w:sz w:val="20"/>
      <w:szCs w:val="20"/>
    </w:rPr>
  </w:style>
  <w:style w:type="character" w:customStyle="1" w:styleId="TableHeaderChar">
    <w:name w:val="Table Header Char"/>
    <w:basedOn w:val="TabletextChar"/>
    <w:link w:val="TableHeader"/>
    <w:rsid w:val="003F68C3"/>
    <w:rPr>
      <w:rFonts w:ascii="Arial" w:hAnsi="Arial" w:cs="Arial"/>
      <w:color w:val="FFFFFF" w:themeColor="background1"/>
      <w:sz w:val="20"/>
      <w:szCs w:val="20"/>
    </w:rPr>
  </w:style>
  <w:style w:type="character" w:customStyle="1" w:styleId="TablefirstcolumnChar">
    <w:name w:val="Table first column Char"/>
    <w:basedOn w:val="TableHeaderChar"/>
    <w:link w:val="Tablefirstcolumn"/>
    <w:rsid w:val="003F68C3"/>
    <w:rPr>
      <w:rFonts w:ascii="Arial" w:hAnsi="Arial" w:cs="Arial"/>
      <w:color w:val="0393BC"/>
      <w:sz w:val="20"/>
      <w:szCs w:val="20"/>
    </w:rPr>
  </w:style>
  <w:style w:type="paragraph" w:styleId="Listenumros">
    <w:name w:val="List Number"/>
    <w:basedOn w:val="Normal"/>
    <w:uiPriority w:val="99"/>
    <w:unhideWhenUsed/>
    <w:rsid w:val="00551227"/>
    <w:pPr>
      <w:numPr>
        <w:numId w:val="13"/>
      </w:numPr>
      <w:tabs>
        <w:tab w:val="clear" w:pos="360"/>
        <w:tab w:val="num" w:pos="426"/>
      </w:tabs>
      <w:ind w:left="426" w:hanging="426"/>
      <w:contextualSpacing/>
    </w:pPr>
    <w:rPr>
      <w:color w:val="939598"/>
    </w:rPr>
  </w:style>
  <w:style w:type="table" w:customStyle="1" w:styleId="ETFTable">
    <w:name w:val="ETF Table"/>
    <w:basedOn w:val="TableauNormal"/>
    <w:uiPriority w:val="99"/>
    <w:qFormat/>
    <w:rsid w:val="00542C57"/>
    <w:pPr>
      <w:spacing w:after="0" w:line="240" w:lineRule="auto"/>
      <w:jc w:val="center"/>
    </w:pPr>
    <w:rPr>
      <w:rFonts w:ascii="Arial" w:hAnsi="Arial"/>
      <w:color w:val="616264"/>
      <w:sz w:val="20"/>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D9D9"/>
      <w:vAlign w:val="center"/>
    </w:tcPr>
    <w:tblStylePr w:type="firstRow">
      <w:rPr>
        <w:rFonts w:ascii="Arial" w:hAnsi="Arial"/>
        <w:b w:val="0"/>
        <w:i w:val="0"/>
        <w:color w:val="FEFEFE"/>
        <w:sz w:val="22"/>
      </w:rPr>
      <w:tblPr/>
      <w:tcPr>
        <w:shd w:val="clear" w:color="auto" w:fill="0092BB" w:themeFill="accent1"/>
      </w:tcPr>
    </w:tblStylePr>
    <w:tblStylePr w:type="firstCol">
      <w:rPr>
        <w:color w:val="0092BB" w:themeColor="accent1"/>
      </w:rPr>
      <w:tblPr/>
      <w:tcPr>
        <w:shd w:val="clear" w:color="auto" w:fill="C9C9C9"/>
      </w:tcPr>
    </w:tblStylePr>
  </w:style>
  <w:style w:type="character" w:styleId="Lienhypertexte">
    <w:name w:val="Hyperlink"/>
    <w:basedOn w:val="Policepardfaut"/>
    <w:uiPriority w:val="99"/>
    <w:unhideWhenUsed/>
    <w:rsid w:val="00DB5D6E"/>
    <w:rPr>
      <w:color w:val="0000FF" w:themeColor="hyperlink"/>
      <w:u w:val="single"/>
    </w:rPr>
  </w:style>
  <w:style w:type="paragraph" w:styleId="Listenumros2">
    <w:name w:val="List Number 2"/>
    <w:basedOn w:val="Normal"/>
    <w:uiPriority w:val="99"/>
    <w:semiHidden/>
    <w:unhideWhenUsed/>
    <w:rsid w:val="00551227"/>
    <w:pPr>
      <w:numPr>
        <w:numId w:val="14"/>
      </w:numPr>
      <w:contextualSpacing/>
    </w:pPr>
    <w:rPr>
      <w:color w:val="939598"/>
    </w:rPr>
  </w:style>
  <w:style w:type="paragraph" w:styleId="Listepuces2">
    <w:name w:val="List Bullet 2"/>
    <w:basedOn w:val="Normal"/>
    <w:uiPriority w:val="99"/>
    <w:semiHidden/>
    <w:unhideWhenUsed/>
    <w:rsid w:val="00551227"/>
    <w:pPr>
      <w:numPr>
        <w:numId w:val="9"/>
      </w:numPr>
      <w:contextualSpacing/>
    </w:pPr>
    <w:rPr>
      <w:color w:val="6D6E71"/>
    </w:rPr>
  </w:style>
  <w:style w:type="paragraph" w:customStyle="1" w:styleId="ETFBodyText">
    <w:name w:val="ETF Body Text"/>
    <w:basedOn w:val="Normal"/>
    <w:link w:val="ETFBodyTextChar"/>
    <w:autoRedefine/>
    <w:rsid w:val="00CA1074"/>
    <w:pPr>
      <w:spacing w:before="60" w:after="60"/>
      <w:ind w:left="34"/>
    </w:pPr>
    <w:rPr>
      <w:rFonts w:eastAsia="Times New Roman" w:cs="Times New Roman"/>
      <w:szCs w:val="16"/>
      <w:lang w:eastAsia="ru-RU"/>
    </w:rPr>
  </w:style>
  <w:style w:type="paragraph" w:customStyle="1" w:styleId="ETFBulletlevel1">
    <w:name w:val="ETF Bullet level 1"/>
    <w:basedOn w:val="ETFBodyText"/>
    <w:next w:val="ETFBodyText"/>
    <w:link w:val="ETFBulletlevel1Char"/>
    <w:rsid w:val="00CA1074"/>
    <w:pPr>
      <w:numPr>
        <w:numId w:val="21"/>
      </w:numPr>
      <w:spacing w:after="140" w:line="259" w:lineRule="auto"/>
    </w:pPr>
  </w:style>
  <w:style w:type="character" w:customStyle="1" w:styleId="ETFBodyTextChar">
    <w:name w:val="ETF Body Text Char"/>
    <w:link w:val="ETFBodyText"/>
    <w:rsid w:val="00CA1074"/>
    <w:rPr>
      <w:rFonts w:ascii="Arial" w:eastAsia="Times New Roman" w:hAnsi="Arial" w:cs="Times New Roman"/>
      <w:sz w:val="20"/>
      <w:szCs w:val="16"/>
      <w:lang w:eastAsia="ru-RU"/>
    </w:rPr>
  </w:style>
  <w:style w:type="character" w:customStyle="1" w:styleId="ETFBulletlevel1Char">
    <w:name w:val="ETF Bullet level 1 Char"/>
    <w:link w:val="ETFBulletlevel1"/>
    <w:rsid w:val="00CA1074"/>
    <w:rPr>
      <w:rFonts w:ascii="Arial" w:eastAsia="Times New Roman" w:hAnsi="Arial" w:cs="Times New Roman"/>
      <w:sz w:val="20"/>
      <w:szCs w:val="16"/>
      <w:lang w:eastAsia="ru-RU"/>
    </w:rPr>
  </w:style>
  <w:style w:type="paragraph" w:styleId="Citation">
    <w:name w:val="Quote"/>
    <w:basedOn w:val="Normal"/>
    <w:next w:val="Normal"/>
    <w:link w:val="CitationCar"/>
    <w:uiPriority w:val="29"/>
    <w:qFormat/>
    <w:rsid w:val="0082168C"/>
    <w:pPr>
      <w:spacing w:before="200" w:after="160"/>
    </w:pPr>
    <w:rPr>
      <w:i/>
      <w:iCs/>
      <w:color w:val="404040" w:themeColor="text1" w:themeTint="BF"/>
    </w:rPr>
  </w:style>
  <w:style w:type="character" w:customStyle="1" w:styleId="CitationCar">
    <w:name w:val="Citation Car"/>
    <w:basedOn w:val="Policepardfaut"/>
    <w:link w:val="Citation"/>
    <w:uiPriority w:val="29"/>
    <w:rsid w:val="0082168C"/>
    <w:rPr>
      <w:rFonts w:ascii="Arial" w:hAnsi="Arial" w:cs="Arial"/>
      <w:i/>
      <w:iCs/>
      <w:color w:val="404040" w:themeColor="text1" w:themeTint="BF"/>
      <w:sz w:val="20"/>
      <w:szCs w:val="20"/>
    </w:rPr>
  </w:style>
  <w:style w:type="character" w:styleId="Marquedecommentaire">
    <w:name w:val="annotation reference"/>
    <w:basedOn w:val="Policepardfaut"/>
    <w:uiPriority w:val="99"/>
    <w:semiHidden/>
    <w:unhideWhenUsed/>
    <w:rsid w:val="003C7911"/>
    <w:rPr>
      <w:sz w:val="16"/>
      <w:szCs w:val="16"/>
    </w:rPr>
  </w:style>
  <w:style w:type="paragraph" w:styleId="Commentaire">
    <w:name w:val="annotation text"/>
    <w:basedOn w:val="Normal"/>
    <w:link w:val="CommentaireCar"/>
    <w:uiPriority w:val="99"/>
    <w:semiHidden/>
    <w:unhideWhenUsed/>
    <w:rsid w:val="003C7911"/>
  </w:style>
  <w:style w:type="character" w:customStyle="1" w:styleId="CommentaireCar">
    <w:name w:val="Commentaire Car"/>
    <w:basedOn w:val="Policepardfaut"/>
    <w:link w:val="Commentaire"/>
    <w:uiPriority w:val="99"/>
    <w:semiHidden/>
    <w:rsid w:val="003C7911"/>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3C7911"/>
    <w:rPr>
      <w:b/>
      <w:bCs/>
    </w:rPr>
  </w:style>
  <w:style w:type="character" w:customStyle="1" w:styleId="ObjetducommentaireCar">
    <w:name w:val="Objet du commentaire Car"/>
    <w:basedOn w:val="CommentaireCar"/>
    <w:link w:val="Objetducommentaire"/>
    <w:uiPriority w:val="99"/>
    <w:semiHidden/>
    <w:rsid w:val="003C7911"/>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342322817">
      <w:bodyDiv w:val="1"/>
      <w:marLeft w:val="0"/>
      <w:marRight w:val="0"/>
      <w:marTop w:val="0"/>
      <w:marBottom w:val="0"/>
      <w:divBdr>
        <w:top w:val="none" w:sz="0" w:space="0" w:color="auto"/>
        <w:left w:val="none" w:sz="0" w:space="0" w:color="auto"/>
        <w:bottom w:val="none" w:sz="0" w:space="0" w:color="auto"/>
        <w:right w:val="none" w:sz="0" w:space="0" w:color="auto"/>
      </w:divBdr>
    </w:div>
    <w:div w:id="349188251">
      <w:bodyDiv w:val="1"/>
      <w:marLeft w:val="0"/>
      <w:marRight w:val="0"/>
      <w:marTop w:val="0"/>
      <w:marBottom w:val="0"/>
      <w:divBdr>
        <w:top w:val="none" w:sz="0" w:space="0" w:color="auto"/>
        <w:left w:val="none" w:sz="0" w:space="0" w:color="auto"/>
        <w:bottom w:val="none" w:sz="0" w:space="0" w:color="auto"/>
        <w:right w:val="none" w:sz="0" w:space="0" w:color="auto"/>
      </w:divBdr>
    </w:div>
    <w:div w:id="485899954">
      <w:bodyDiv w:val="1"/>
      <w:marLeft w:val="0"/>
      <w:marRight w:val="0"/>
      <w:marTop w:val="0"/>
      <w:marBottom w:val="0"/>
      <w:divBdr>
        <w:top w:val="none" w:sz="0" w:space="0" w:color="auto"/>
        <w:left w:val="none" w:sz="0" w:space="0" w:color="auto"/>
        <w:bottom w:val="none" w:sz="0" w:space="0" w:color="auto"/>
        <w:right w:val="none" w:sz="0" w:space="0" w:color="auto"/>
      </w:divBdr>
    </w:div>
    <w:div w:id="654796352">
      <w:bodyDiv w:val="1"/>
      <w:marLeft w:val="0"/>
      <w:marRight w:val="0"/>
      <w:marTop w:val="0"/>
      <w:marBottom w:val="0"/>
      <w:divBdr>
        <w:top w:val="none" w:sz="0" w:space="0" w:color="auto"/>
        <w:left w:val="none" w:sz="0" w:space="0" w:color="auto"/>
        <w:bottom w:val="none" w:sz="0" w:space="0" w:color="auto"/>
        <w:right w:val="none" w:sz="0" w:space="0" w:color="auto"/>
      </w:divBdr>
    </w:div>
    <w:div w:id="800928980">
      <w:bodyDiv w:val="1"/>
      <w:marLeft w:val="0"/>
      <w:marRight w:val="0"/>
      <w:marTop w:val="0"/>
      <w:marBottom w:val="0"/>
      <w:divBdr>
        <w:top w:val="none" w:sz="0" w:space="0" w:color="auto"/>
        <w:left w:val="none" w:sz="0" w:space="0" w:color="auto"/>
        <w:bottom w:val="none" w:sz="0" w:space="0" w:color="auto"/>
        <w:right w:val="none" w:sz="0" w:space="0" w:color="auto"/>
      </w:divBdr>
    </w:div>
    <w:div w:id="876819605">
      <w:bodyDiv w:val="1"/>
      <w:marLeft w:val="0"/>
      <w:marRight w:val="0"/>
      <w:marTop w:val="0"/>
      <w:marBottom w:val="0"/>
      <w:divBdr>
        <w:top w:val="none" w:sz="0" w:space="0" w:color="auto"/>
        <w:left w:val="none" w:sz="0" w:space="0" w:color="auto"/>
        <w:bottom w:val="none" w:sz="0" w:space="0" w:color="auto"/>
        <w:right w:val="none" w:sz="0" w:space="0" w:color="auto"/>
      </w:divBdr>
    </w:div>
    <w:div w:id="1028526506">
      <w:bodyDiv w:val="1"/>
      <w:marLeft w:val="0"/>
      <w:marRight w:val="0"/>
      <w:marTop w:val="0"/>
      <w:marBottom w:val="0"/>
      <w:divBdr>
        <w:top w:val="none" w:sz="0" w:space="0" w:color="auto"/>
        <w:left w:val="none" w:sz="0" w:space="0" w:color="auto"/>
        <w:bottom w:val="none" w:sz="0" w:space="0" w:color="auto"/>
        <w:right w:val="none" w:sz="0" w:space="0" w:color="auto"/>
      </w:divBdr>
    </w:div>
    <w:div w:id="1093553737">
      <w:bodyDiv w:val="1"/>
      <w:marLeft w:val="0"/>
      <w:marRight w:val="0"/>
      <w:marTop w:val="0"/>
      <w:marBottom w:val="0"/>
      <w:divBdr>
        <w:top w:val="none" w:sz="0" w:space="0" w:color="auto"/>
        <w:left w:val="none" w:sz="0" w:space="0" w:color="auto"/>
        <w:bottom w:val="none" w:sz="0" w:space="0" w:color="auto"/>
        <w:right w:val="none" w:sz="0" w:space="0" w:color="auto"/>
      </w:divBdr>
    </w:div>
    <w:div w:id="18143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TF Palette">
      <a:dk1>
        <a:sysClr val="windowText" lastClr="000000"/>
      </a:dk1>
      <a:lt1>
        <a:sysClr val="window" lastClr="FFFFFF"/>
      </a:lt1>
      <a:dk2>
        <a:srgbClr val="1F497D"/>
      </a:dk2>
      <a:lt2>
        <a:srgbClr val="EEECE1"/>
      </a:lt2>
      <a:accent1>
        <a:srgbClr val="0092BB"/>
      </a:accent1>
      <a:accent2>
        <a:srgbClr val="66BED6"/>
      </a:accent2>
      <a:accent3>
        <a:srgbClr val="DC006B"/>
      </a:accent3>
      <a:accent4>
        <a:srgbClr val="0092BB"/>
      </a:accent4>
      <a:accent5>
        <a:srgbClr val="94C2D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99D77-E035-4E89-BE56-42B908AD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442</Words>
  <Characters>2435</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Stanley</dc:creator>
  <cp:lastModifiedBy>lotfi belkacem</cp:lastModifiedBy>
  <cp:revision>9</cp:revision>
  <cp:lastPrinted>2019-03-04T14:44:00Z</cp:lastPrinted>
  <dcterms:created xsi:type="dcterms:W3CDTF">2019-02-25T15:13:00Z</dcterms:created>
  <dcterms:modified xsi:type="dcterms:W3CDTF">2019-03-04T17:46:00Z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gnoff">
    <vt:lpwstr/>
  </property>
  <property fmtid="{D5CDD505-2E9C-101B-9397-08002B2CF9AE}" pid="3" name="DocEventName">
    <vt:lpwstr>National Workshop</vt:lpwstr>
  </property>
  <property fmtid="{D5CDD505-2E9C-101B-9397-08002B2CF9AE}" pid="4" name="DocLocation">
    <vt:lpwstr>VArious</vt:lpwstr>
  </property>
  <property fmtid="{D5CDD505-2E9C-101B-9397-08002B2CF9AE}" pid="5" name="DocDateRange">
    <vt:lpwstr>autumn 2015</vt:lpwstr>
  </property>
  <property fmtid="{D5CDD505-2E9C-101B-9397-08002B2CF9AE}" pid="6" name="DocPath">
    <vt:lpwstr>\\archimedes\apps\comapps\client applications\etf templates\ETF Agenda.dotx</vt:lpwstr>
  </property>
  <property fmtid="{D5CDD505-2E9C-101B-9397-08002B2CF9AE}" pid="7" name="DocType">
    <vt:lpwstr>ETF</vt:lpwstr>
  </property>
  <property fmtid="{D5CDD505-2E9C-101B-9397-08002B2CF9AE}" pid="8" name="InitialTemplateVersion">
    <vt:lpwstr>2.0</vt:lpwstr>
  </property>
  <property fmtid="{D5CDD505-2E9C-101B-9397-08002B2CF9AE}" pid="9" name="CurrentTemplateVersion">
    <vt:lpwstr>2.0</vt:lpwstr>
  </property>
  <property fmtid="{D5CDD505-2E9C-101B-9397-08002B2CF9AE}" pid="10" name="DocTemplateName">
    <vt:lpwstr>ETF Agenda.dotx</vt:lpwstr>
  </property>
  <property fmtid="{D5CDD505-2E9C-101B-9397-08002B2CF9AE}" pid="11" name="OfficeEmail">
    <vt:lpwstr>firstname.lastname@fgould.com</vt:lpwstr>
  </property>
</Properties>
</file>