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27" w:type="dxa"/>
        <w:tblLook w:val="04A0" w:firstRow="1" w:lastRow="0" w:firstColumn="1" w:lastColumn="0" w:noHBand="0" w:noVBand="1"/>
      </w:tblPr>
      <w:tblGrid>
        <w:gridCol w:w="4518"/>
        <w:gridCol w:w="6109"/>
      </w:tblGrid>
      <w:tr w:rsidR="004516DB" w:rsidTr="000D7616">
        <w:tc>
          <w:tcPr>
            <w:tcW w:w="4508" w:type="dxa"/>
          </w:tcPr>
          <w:p w:rsidR="004516DB" w:rsidRDefault="004516DB">
            <w:bookmarkStart w:id="0" w:name="_GoBack"/>
            <w:bookmarkEnd w:id="0"/>
            <w:r w:rsidRPr="004516DB">
              <w:rPr>
                <w:noProof/>
                <w:lang w:eastAsia="en-GB"/>
              </w:rPr>
              <w:drawing>
                <wp:inline distT="0" distB="0" distL="0" distR="0" wp14:anchorId="4D86D059" wp14:editId="05F3DAEB">
                  <wp:extent cx="2703600" cy="151920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03600" cy="1519200"/>
                          </a:xfrm>
                          <a:prstGeom prst="rect">
                            <a:avLst/>
                          </a:prstGeom>
                        </pic:spPr>
                      </pic:pic>
                    </a:graphicData>
                  </a:graphic>
                </wp:inline>
              </w:drawing>
            </w:r>
          </w:p>
          <w:p w:rsidR="004516DB" w:rsidRDefault="004516DB"/>
        </w:tc>
        <w:tc>
          <w:tcPr>
            <w:tcW w:w="6119" w:type="dxa"/>
          </w:tcPr>
          <w:p w:rsidR="004516DB" w:rsidRPr="000D7616" w:rsidRDefault="004516DB">
            <w:pPr>
              <w:rPr>
                <w:sz w:val="32"/>
                <w:szCs w:val="32"/>
              </w:rPr>
            </w:pPr>
            <w:r w:rsidRPr="000D7616">
              <w:rPr>
                <w:sz w:val="32"/>
                <w:szCs w:val="32"/>
              </w:rPr>
              <w:t>Welcome to Torino</w:t>
            </w:r>
          </w:p>
          <w:p w:rsidR="004516DB" w:rsidRPr="000D7616" w:rsidRDefault="004516DB">
            <w:pPr>
              <w:rPr>
                <w:sz w:val="32"/>
                <w:szCs w:val="32"/>
              </w:rPr>
            </w:pPr>
            <w:r w:rsidRPr="000D7616">
              <w:rPr>
                <w:sz w:val="32"/>
                <w:szCs w:val="32"/>
              </w:rPr>
              <w:t xml:space="preserve">You will have many detailed presentations these days. That is why I decided to use a different format. My presentation </w:t>
            </w:r>
            <w:r w:rsidR="000D7616" w:rsidRPr="000D7616">
              <w:rPr>
                <w:sz w:val="32"/>
                <w:szCs w:val="32"/>
              </w:rPr>
              <w:t>is</w:t>
            </w:r>
            <w:r w:rsidRPr="000D7616">
              <w:rPr>
                <w:sz w:val="32"/>
                <w:szCs w:val="32"/>
              </w:rPr>
              <w:t xml:space="preserve"> a Pecha Kucha of  20 slides lasting 20 second each = 6.40’’</w:t>
            </w:r>
          </w:p>
          <w:p w:rsidR="004516DB" w:rsidRPr="000D7616" w:rsidRDefault="004516DB">
            <w:pPr>
              <w:rPr>
                <w:sz w:val="32"/>
                <w:szCs w:val="32"/>
              </w:rPr>
            </w:pPr>
          </w:p>
        </w:tc>
      </w:tr>
      <w:tr w:rsidR="004516DB" w:rsidTr="000D7616">
        <w:tc>
          <w:tcPr>
            <w:tcW w:w="4508" w:type="dxa"/>
          </w:tcPr>
          <w:p w:rsidR="004516DB" w:rsidRDefault="004516DB">
            <w:r w:rsidRPr="004516DB">
              <w:rPr>
                <w:noProof/>
                <w:lang w:eastAsia="en-GB"/>
              </w:rPr>
              <w:drawing>
                <wp:inline distT="0" distB="0" distL="0" distR="0" wp14:anchorId="4962D4F2" wp14:editId="6808731D">
                  <wp:extent cx="2707200" cy="15228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07200" cy="1522800"/>
                          </a:xfrm>
                          <a:prstGeom prst="rect">
                            <a:avLst/>
                          </a:prstGeom>
                        </pic:spPr>
                      </pic:pic>
                    </a:graphicData>
                  </a:graphic>
                </wp:inline>
              </w:drawing>
            </w:r>
          </w:p>
        </w:tc>
        <w:tc>
          <w:tcPr>
            <w:tcW w:w="6119" w:type="dxa"/>
          </w:tcPr>
          <w:p w:rsidR="000D7616" w:rsidRPr="000D7616" w:rsidRDefault="000D7616">
            <w:pPr>
              <w:rPr>
                <w:sz w:val="32"/>
                <w:szCs w:val="32"/>
              </w:rPr>
            </w:pPr>
            <w:r w:rsidRPr="000D7616">
              <w:rPr>
                <w:sz w:val="32"/>
                <w:szCs w:val="32"/>
              </w:rPr>
              <w:t>The training has two main objectives</w:t>
            </w:r>
          </w:p>
          <w:p w:rsidR="000D7616" w:rsidRPr="000D7616" w:rsidRDefault="000D7616" w:rsidP="000D7616">
            <w:pPr>
              <w:pStyle w:val="ListParagraph"/>
              <w:numPr>
                <w:ilvl w:val="0"/>
                <w:numId w:val="1"/>
              </w:numPr>
              <w:rPr>
                <w:sz w:val="32"/>
                <w:szCs w:val="32"/>
              </w:rPr>
            </w:pPr>
            <w:r w:rsidRPr="000D7616">
              <w:rPr>
                <w:sz w:val="32"/>
                <w:szCs w:val="32"/>
              </w:rPr>
              <w:t>Elaborating the concept of NAK</w:t>
            </w:r>
          </w:p>
          <w:p w:rsidR="000D7616" w:rsidRPr="000D7616" w:rsidRDefault="000D7616" w:rsidP="000D7616">
            <w:pPr>
              <w:pStyle w:val="ListParagraph"/>
              <w:numPr>
                <w:ilvl w:val="0"/>
                <w:numId w:val="1"/>
              </w:numPr>
              <w:rPr>
                <w:sz w:val="32"/>
                <w:szCs w:val="32"/>
              </w:rPr>
            </w:pPr>
            <w:r w:rsidRPr="000D7616">
              <w:rPr>
                <w:sz w:val="32"/>
                <w:szCs w:val="32"/>
              </w:rPr>
              <w:t xml:space="preserve">Agree a work plan for 2019-2020 </w:t>
            </w:r>
          </w:p>
          <w:p w:rsidR="004516DB" w:rsidRPr="000D7616" w:rsidRDefault="000D7616">
            <w:pPr>
              <w:rPr>
                <w:sz w:val="32"/>
                <w:szCs w:val="32"/>
              </w:rPr>
            </w:pPr>
            <w:r w:rsidRPr="000D7616">
              <w:rPr>
                <w:sz w:val="32"/>
                <w:szCs w:val="32"/>
              </w:rPr>
              <w:t xml:space="preserve">And of course understanding what NAK will do </w:t>
            </w:r>
          </w:p>
        </w:tc>
      </w:tr>
      <w:tr w:rsidR="004516DB" w:rsidTr="000D7616">
        <w:tc>
          <w:tcPr>
            <w:tcW w:w="4508" w:type="dxa"/>
          </w:tcPr>
          <w:p w:rsidR="004516DB" w:rsidRDefault="004516DB">
            <w:r w:rsidRPr="004516DB">
              <w:rPr>
                <w:noProof/>
                <w:lang w:eastAsia="en-GB"/>
              </w:rPr>
              <w:drawing>
                <wp:inline distT="0" distB="0" distL="0" distR="0" wp14:anchorId="5B525E9A" wp14:editId="7ED04F71">
                  <wp:extent cx="2707200" cy="15228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7200" cy="1522800"/>
                          </a:xfrm>
                          <a:prstGeom prst="rect">
                            <a:avLst/>
                          </a:prstGeom>
                        </pic:spPr>
                      </pic:pic>
                    </a:graphicData>
                  </a:graphic>
                </wp:inline>
              </w:drawing>
            </w:r>
          </w:p>
        </w:tc>
        <w:tc>
          <w:tcPr>
            <w:tcW w:w="6119" w:type="dxa"/>
          </w:tcPr>
          <w:p w:rsidR="004516DB" w:rsidRPr="000D7616" w:rsidRDefault="000D7616">
            <w:pPr>
              <w:rPr>
                <w:sz w:val="32"/>
                <w:szCs w:val="32"/>
              </w:rPr>
            </w:pPr>
            <w:r w:rsidRPr="000D7616">
              <w:rPr>
                <w:sz w:val="32"/>
                <w:szCs w:val="32"/>
              </w:rPr>
              <w:t>According to the Law on Education NAK has 17 tasks. We will analyse and discuss together what they mean in practice for NAK and compare them with the tasks of other agencies</w:t>
            </w:r>
          </w:p>
        </w:tc>
      </w:tr>
      <w:tr w:rsidR="000D7616" w:rsidTr="000D7616">
        <w:tc>
          <w:tcPr>
            <w:tcW w:w="4508" w:type="dxa"/>
          </w:tcPr>
          <w:p w:rsidR="000D7616" w:rsidRPr="004516DB" w:rsidRDefault="000D7616">
            <w:r w:rsidRPr="000D7616">
              <w:rPr>
                <w:noProof/>
                <w:lang w:eastAsia="en-GB"/>
              </w:rPr>
              <w:drawing>
                <wp:inline distT="0" distB="0" distL="0" distR="0" wp14:anchorId="72A1D1D4" wp14:editId="1D848F7C">
                  <wp:extent cx="2707200" cy="15228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7200" cy="1522800"/>
                          </a:xfrm>
                          <a:prstGeom prst="rect">
                            <a:avLst/>
                          </a:prstGeom>
                        </pic:spPr>
                      </pic:pic>
                    </a:graphicData>
                  </a:graphic>
                </wp:inline>
              </w:drawing>
            </w:r>
          </w:p>
        </w:tc>
        <w:tc>
          <w:tcPr>
            <w:tcW w:w="6119" w:type="dxa"/>
          </w:tcPr>
          <w:p w:rsidR="000D7616" w:rsidRPr="000D7616" w:rsidRDefault="000D7616" w:rsidP="000D7616">
            <w:pPr>
              <w:rPr>
                <w:sz w:val="32"/>
                <w:szCs w:val="32"/>
              </w:rPr>
            </w:pPr>
            <w:r w:rsidRPr="000D7616">
              <w:rPr>
                <w:sz w:val="32"/>
                <w:szCs w:val="32"/>
              </w:rPr>
              <w:t xml:space="preserve">NAK has a board of 12 members and will have a </w:t>
            </w:r>
            <w:r>
              <w:rPr>
                <w:sz w:val="32"/>
                <w:szCs w:val="32"/>
              </w:rPr>
              <w:t>large s</w:t>
            </w:r>
            <w:r w:rsidRPr="000D7616">
              <w:rPr>
                <w:sz w:val="32"/>
                <w:szCs w:val="32"/>
              </w:rPr>
              <w:t xml:space="preserve">ecretariat. The secretariat will be established </w:t>
            </w:r>
            <w:r w:rsidR="00605B29">
              <w:rPr>
                <w:sz w:val="32"/>
                <w:szCs w:val="32"/>
              </w:rPr>
              <w:t xml:space="preserve">and </w:t>
            </w:r>
            <w:r w:rsidRPr="000D7616">
              <w:rPr>
                <w:sz w:val="32"/>
                <w:szCs w:val="32"/>
              </w:rPr>
              <w:t xml:space="preserve">grow during 2019-2020. </w:t>
            </w:r>
            <w:r>
              <w:rPr>
                <w:sz w:val="32"/>
                <w:szCs w:val="32"/>
              </w:rPr>
              <w:t xml:space="preserve">How NAK is organised and who will be involved in which tasks </w:t>
            </w:r>
            <w:proofErr w:type="gramStart"/>
            <w:r>
              <w:rPr>
                <w:sz w:val="32"/>
                <w:szCs w:val="32"/>
              </w:rPr>
              <w:t>is defined</w:t>
            </w:r>
            <w:proofErr w:type="gramEnd"/>
            <w:r>
              <w:rPr>
                <w:sz w:val="32"/>
                <w:szCs w:val="32"/>
              </w:rPr>
              <w:t xml:space="preserve"> in the concept.</w:t>
            </w:r>
          </w:p>
        </w:tc>
      </w:tr>
      <w:tr w:rsidR="000D7616" w:rsidTr="000D7616">
        <w:tc>
          <w:tcPr>
            <w:tcW w:w="4508" w:type="dxa"/>
          </w:tcPr>
          <w:p w:rsidR="000D7616" w:rsidRPr="000D7616" w:rsidRDefault="008411DE">
            <w:r w:rsidRPr="008411DE">
              <w:rPr>
                <w:noProof/>
                <w:lang w:eastAsia="en-GB"/>
              </w:rPr>
              <w:drawing>
                <wp:inline distT="0" distB="0" distL="0" distR="0" wp14:anchorId="14104BEA" wp14:editId="4EB3099E">
                  <wp:extent cx="2714400" cy="152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4400" cy="1526400"/>
                          </a:xfrm>
                          <a:prstGeom prst="rect">
                            <a:avLst/>
                          </a:prstGeom>
                        </pic:spPr>
                      </pic:pic>
                    </a:graphicData>
                  </a:graphic>
                </wp:inline>
              </w:drawing>
            </w:r>
          </w:p>
        </w:tc>
        <w:tc>
          <w:tcPr>
            <w:tcW w:w="6119" w:type="dxa"/>
          </w:tcPr>
          <w:p w:rsidR="000D7616" w:rsidRPr="000D7616" w:rsidRDefault="008411DE" w:rsidP="004801AF">
            <w:pPr>
              <w:rPr>
                <w:sz w:val="32"/>
                <w:szCs w:val="32"/>
              </w:rPr>
            </w:pPr>
            <w:r>
              <w:rPr>
                <w:sz w:val="32"/>
                <w:szCs w:val="32"/>
              </w:rPr>
              <w:t xml:space="preserve">NAK task </w:t>
            </w:r>
            <w:r w:rsidR="004801AF">
              <w:rPr>
                <w:sz w:val="32"/>
                <w:szCs w:val="32"/>
              </w:rPr>
              <w:t>will manage</w:t>
            </w:r>
            <w:r>
              <w:rPr>
                <w:sz w:val="32"/>
                <w:szCs w:val="32"/>
              </w:rPr>
              <w:t xml:space="preserve"> the register</w:t>
            </w:r>
            <w:r w:rsidR="004801AF">
              <w:rPr>
                <w:sz w:val="32"/>
                <w:szCs w:val="32"/>
              </w:rPr>
              <w:t>, including</w:t>
            </w:r>
            <w:r>
              <w:rPr>
                <w:sz w:val="32"/>
                <w:szCs w:val="32"/>
              </w:rPr>
              <w:t xml:space="preserve"> register includes relevant and quality assured standards, accredited qualification centres and possibly other things too. The register is a database for everyone that needs to </w:t>
            </w:r>
            <w:proofErr w:type="gramStart"/>
            <w:r>
              <w:rPr>
                <w:sz w:val="32"/>
                <w:szCs w:val="32"/>
              </w:rPr>
              <w:t>be filled</w:t>
            </w:r>
            <w:proofErr w:type="gramEnd"/>
            <w:r>
              <w:rPr>
                <w:sz w:val="32"/>
                <w:szCs w:val="32"/>
              </w:rPr>
              <w:t xml:space="preserve"> with entries as soon as possible.</w:t>
            </w:r>
          </w:p>
        </w:tc>
      </w:tr>
      <w:tr w:rsidR="008411DE" w:rsidTr="000D7616">
        <w:tc>
          <w:tcPr>
            <w:tcW w:w="4508" w:type="dxa"/>
          </w:tcPr>
          <w:p w:rsidR="008411DE" w:rsidRPr="008411DE" w:rsidRDefault="008411DE">
            <w:r w:rsidRPr="008411DE">
              <w:rPr>
                <w:noProof/>
                <w:lang w:eastAsia="en-GB"/>
              </w:rPr>
              <w:drawing>
                <wp:inline distT="0" distB="0" distL="0" distR="0" wp14:anchorId="4F247021" wp14:editId="31F40474">
                  <wp:extent cx="2714400" cy="152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4400" cy="1526400"/>
                          </a:xfrm>
                          <a:prstGeom prst="rect">
                            <a:avLst/>
                          </a:prstGeom>
                        </pic:spPr>
                      </pic:pic>
                    </a:graphicData>
                  </a:graphic>
                </wp:inline>
              </w:drawing>
            </w:r>
          </w:p>
        </w:tc>
        <w:tc>
          <w:tcPr>
            <w:tcW w:w="6119" w:type="dxa"/>
          </w:tcPr>
          <w:p w:rsidR="008411DE" w:rsidRDefault="005A49EB" w:rsidP="008411DE">
            <w:pPr>
              <w:rPr>
                <w:sz w:val="32"/>
                <w:szCs w:val="32"/>
              </w:rPr>
            </w:pPr>
            <w:r>
              <w:rPr>
                <w:sz w:val="32"/>
                <w:szCs w:val="32"/>
              </w:rPr>
              <w:t>You cannot do everything at once. The first rule of planning is one item first. We need to establish the sequence of the tasks, in order to get NAK on its feet and to show it can achieve results quickly.</w:t>
            </w:r>
          </w:p>
        </w:tc>
      </w:tr>
      <w:tr w:rsidR="005A49EB" w:rsidTr="000D7616">
        <w:tc>
          <w:tcPr>
            <w:tcW w:w="4508" w:type="dxa"/>
          </w:tcPr>
          <w:p w:rsidR="005A49EB" w:rsidRPr="008411DE" w:rsidRDefault="005A49EB">
            <w:r w:rsidRPr="005A49EB">
              <w:rPr>
                <w:noProof/>
                <w:lang w:eastAsia="en-GB"/>
              </w:rPr>
              <w:lastRenderedPageBreak/>
              <w:drawing>
                <wp:inline distT="0" distB="0" distL="0" distR="0" wp14:anchorId="007F6B87" wp14:editId="231968A4">
                  <wp:extent cx="2714400" cy="152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4400" cy="1526400"/>
                          </a:xfrm>
                          <a:prstGeom prst="rect">
                            <a:avLst/>
                          </a:prstGeom>
                        </pic:spPr>
                      </pic:pic>
                    </a:graphicData>
                  </a:graphic>
                </wp:inline>
              </w:drawing>
            </w:r>
          </w:p>
        </w:tc>
        <w:tc>
          <w:tcPr>
            <w:tcW w:w="6119" w:type="dxa"/>
          </w:tcPr>
          <w:p w:rsidR="005A49EB" w:rsidRDefault="005A49EB" w:rsidP="004801AF">
            <w:pPr>
              <w:rPr>
                <w:sz w:val="32"/>
                <w:szCs w:val="32"/>
              </w:rPr>
            </w:pPr>
            <w:r>
              <w:rPr>
                <w:sz w:val="32"/>
                <w:szCs w:val="32"/>
              </w:rPr>
              <w:t xml:space="preserve">NAK is unique </w:t>
            </w:r>
            <w:r w:rsidR="004801AF">
              <w:rPr>
                <w:sz w:val="32"/>
                <w:szCs w:val="32"/>
              </w:rPr>
              <w:t xml:space="preserve">in </w:t>
            </w:r>
            <w:r>
              <w:rPr>
                <w:sz w:val="32"/>
                <w:szCs w:val="32"/>
              </w:rPr>
              <w:t xml:space="preserve">Ukraine, but fortunately, there are similar organisations abroad. We have invited </w:t>
            </w:r>
            <w:r w:rsidR="004801AF">
              <w:rPr>
                <w:sz w:val="32"/>
                <w:szCs w:val="32"/>
              </w:rPr>
              <w:t xml:space="preserve">similar agencies </w:t>
            </w:r>
            <w:r>
              <w:rPr>
                <w:sz w:val="32"/>
                <w:szCs w:val="32"/>
              </w:rPr>
              <w:t xml:space="preserve">ANQEP from Portugal, VQA from Turkey, and </w:t>
            </w:r>
            <w:proofErr w:type="spellStart"/>
            <w:r>
              <w:rPr>
                <w:sz w:val="32"/>
                <w:szCs w:val="32"/>
              </w:rPr>
              <w:t>Kutsekoda</w:t>
            </w:r>
            <w:proofErr w:type="spellEnd"/>
            <w:r>
              <w:rPr>
                <w:sz w:val="32"/>
                <w:szCs w:val="32"/>
              </w:rPr>
              <w:t xml:space="preserve"> from Estonia to compare them with NAK</w:t>
            </w:r>
            <w:r w:rsidR="004801AF">
              <w:rPr>
                <w:sz w:val="32"/>
                <w:szCs w:val="32"/>
              </w:rPr>
              <w:t xml:space="preserve"> and to share their experience.</w:t>
            </w:r>
          </w:p>
        </w:tc>
      </w:tr>
      <w:tr w:rsidR="005A49EB" w:rsidTr="000D7616">
        <w:tc>
          <w:tcPr>
            <w:tcW w:w="4508" w:type="dxa"/>
          </w:tcPr>
          <w:p w:rsidR="005A49EB" w:rsidRPr="005A49EB" w:rsidRDefault="005A49EB">
            <w:r w:rsidRPr="005A49EB">
              <w:rPr>
                <w:noProof/>
                <w:lang w:eastAsia="en-GB"/>
              </w:rPr>
              <w:drawing>
                <wp:inline distT="0" distB="0" distL="0" distR="0" wp14:anchorId="145FAF24" wp14:editId="586C6C28">
                  <wp:extent cx="2714400" cy="152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4400" cy="1526400"/>
                          </a:xfrm>
                          <a:prstGeom prst="rect">
                            <a:avLst/>
                          </a:prstGeom>
                        </pic:spPr>
                      </pic:pic>
                    </a:graphicData>
                  </a:graphic>
                </wp:inline>
              </w:drawing>
            </w:r>
          </w:p>
        </w:tc>
        <w:tc>
          <w:tcPr>
            <w:tcW w:w="6119" w:type="dxa"/>
          </w:tcPr>
          <w:p w:rsidR="005A49EB" w:rsidRDefault="005A49EB" w:rsidP="00605B29">
            <w:pPr>
              <w:rPr>
                <w:sz w:val="32"/>
                <w:szCs w:val="32"/>
              </w:rPr>
            </w:pPr>
            <w:r>
              <w:rPr>
                <w:sz w:val="32"/>
                <w:szCs w:val="32"/>
              </w:rPr>
              <w:t xml:space="preserve">These pictures are from existing qualification centres </w:t>
            </w:r>
            <w:r w:rsidR="00605B29">
              <w:rPr>
                <w:sz w:val="32"/>
                <w:szCs w:val="32"/>
              </w:rPr>
              <w:t>abroad and in</w:t>
            </w:r>
            <w:r>
              <w:rPr>
                <w:sz w:val="32"/>
                <w:szCs w:val="32"/>
              </w:rPr>
              <w:t xml:space="preserve"> Ukraine. </w:t>
            </w:r>
            <w:r w:rsidR="00605B29">
              <w:rPr>
                <w:sz w:val="32"/>
                <w:szCs w:val="32"/>
              </w:rPr>
              <w:t>NAK will i</w:t>
            </w:r>
            <w:r w:rsidR="007D4BED">
              <w:rPr>
                <w:sz w:val="32"/>
                <w:szCs w:val="32"/>
              </w:rPr>
              <w:t>ntroduc</w:t>
            </w:r>
            <w:r w:rsidR="00605B29">
              <w:rPr>
                <w:sz w:val="32"/>
                <w:szCs w:val="32"/>
              </w:rPr>
              <w:t>e</w:t>
            </w:r>
            <w:r w:rsidR="007D4BED">
              <w:rPr>
                <w:sz w:val="32"/>
                <w:szCs w:val="32"/>
              </w:rPr>
              <w:t xml:space="preserve"> independent assessment, widen the validation of non-formal and informal learning and support t</w:t>
            </w:r>
            <w:r>
              <w:rPr>
                <w:sz w:val="32"/>
                <w:szCs w:val="32"/>
              </w:rPr>
              <w:t>he establishment of qualification centres</w:t>
            </w:r>
            <w:r w:rsidR="009637B1">
              <w:rPr>
                <w:sz w:val="32"/>
                <w:szCs w:val="32"/>
              </w:rPr>
              <w:t>.</w:t>
            </w:r>
          </w:p>
        </w:tc>
      </w:tr>
      <w:tr w:rsidR="007D4BED" w:rsidTr="000D7616">
        <w:tc>
          <w:tcPr>
            <w:tcW w:w="4508" w:type="dxa"/>
          </w:tcPr>
          <w:p w:rsidR="007D4BED" w:rsidRPr="005A49EB" w:rsidRDefault="007D4BED">
            <w:r w:rsidRPr="007D4BED">
              <w:rPr>
                <w:noProof/>
                <w:lang w:eastAsia="en-GB"/>
              </w:rPr>
              <w:drawing>
                <wp:inline distT="0" distB="0" distL="0" distR="0" wp14:anchorId="30F50140" wp14:editId="4FAE1358">
                  <wp:extent cx="2721600" cy="1522800"/>
                  <wp:effectExtent l="0" t="0" r="3175" b="1270"/>
                  <wp:docPr id="9" name="Picture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47B254A-B951-CD48-9985-EF3232714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47B254A-B951-CD48-9985-EF3232714A30}"/>
                              </a:ext>
                            </a:extLst>
                          </pic:cNvPr>
                          <pic:cNvPicPr>
                            <a:picLocks noChangeAspect="1"/>
                          </pic:cNvPicPr>
                        </pic:nvPicPr>
                        <pic:blipFill>
                          <a:blip r:embed="rId13"/>
                          <a:stretch>
                            <a:fillRect/>
                          </a:stretch>
                        </pic:blipFill>
                        <pic:spPr>
                          <a:xfrm>
                            <a:off x="0" y="0"/>
                            <a:ext cx="2721600" cy="1522800"/>
                          </a:xfrm>
                          <a:prstGeom prst="rect">
                            <a:avLst/>
                          </a:prstGeom>
                        </pic:spPr>
                      </pic:pic>
                    </a:graphicData>
                  </a:graphic>
                </wp:inline>
              </w:drawing>
            </w:r>
          </w:p>
        </w:tc>
        <w:tc>
          <w:tcPr>
            <w:tcW w:w="6119" w:type="dxa"/>
          </w:tcPr>
          <w:p w:rsidR="007D4BED" w:rsidRDefault="007D4BED" w:rsidP="007D4BED">
            <w:pPr>
              <w:rPr>
                <w:sz w:val="32"/>
                <w:szCs w:val="32"/>
              </w:rPr>
            </w:pPr>
            <w:r>
              <w:rPr>
                <w:sz w:val="32"/>
                <w:szCs w:val="32"/>
              </w:rPr>
              <w:t>We are living in a fast changing world.</w:t>
            </w:r>
          </w:p>
          <w:p w:rsidR="007D4BED" w:rsidRDefault="007D4BED" w:rsidP="004801AF">
            <w:pPr>
              <w:rPr>
                <w:sz w:val="32"/>
                <w:szCs w:val="32"/>
              </w:rPr>
            </w:pPr>
            <w:r>
              <w:rPr>
                <w:sz w:val="32"/>
                <w:szCs w:val="32"/>
              </w:rPr>
              <w:t xml:space="preserve">What kind of qualifications will Ukraine need in five years’ time? NAK will work with other institutions and </w:t>
            </w:r>
            <w:r w:rsidR="004801AF">
              <w:rPr>
                <w:sz w:val="32"/>
                <w:szCs w:val="32"/>
              </w:rPr>
              <w:t>stakeholders</w:t>
            </w:r>
            <w:r>
              <w:rPr>
                <w:sz w:val="32"/>
                <w:szCs w:val="32"/>
              </w:rPr>
              <w:t xml:space="preserve"> to clarify this. </w:t>
            </w:r>
            <w:r w:rsidR="004801AF">
              <w:rPr>
                <w:sz w:val="32"/>
                <w:szCs w:val="32"/>
              </w:rPr>
              <w:t>W</w:t>
            </w:r>
            <w:r>
              <w:rPr>
                <w:sz w:val="32"/>
                <w:szCs w:val="32"/>
              </w:rPr>
              <w:t>e will look at the processes that could address this task.</w:t>
            </w:r>
          </w:p>
        </w:tc>
      </w:tr>
      <w:tr w:rsidR="007D4BED" w:rsidTr="000D7616">
        <w:tc>
          <w:tcPr>
            <w:tcW w:w="4508" w:type="dxa"/>
          </w:tcPr>
          <w:p w:rsidR="007D4BED" w:rsidRPr="007D4BED" w:rsidRDefault="007D4BED">
            <w:r w:rsidRPr="007D4BED">
              <w:rPr>
                <w:noProof/>
                <w:lang w:eastAsia="en-GB"/>
              </w:rPr>
              <w:drawing>
                <wp:inline distT="0" distB="0" distL="0" distR="0" wp14:anchorId="0D8953DF" wp14:editId="42488247">
                  <wp:extent cx="2714400" cy="152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4400" cy="1526400"/>
                          </a:xfrm>
                          <a:prstGeom prst="rect">
                            <a:avLst/>
                          </a:prstGeom>
                        </pic:spPr>
                      </pic:pic>
                    </a:graphicData>
                  </a:graphic>
                </wp:inline>
              </w:drawing>
            </w:r>
          </w:p>
        </w:tc>
        <w:tc>
          <w:tcPr>
            <w:tcW w:w="6119" w:type="dxa"/>
          </w:tcPr>
          <w:p w:rsidR="007D4BED" w:rsidRDefault="007D4BED" w:rsidP="004801AF">
            <w:pPr>
              <w:rPr>
                <w:sz w:val="32"/>
                <w:szCs w:val="32"/>
              </w:rPr>
            </w:pPr>
            <w:r>
              <w:rPr>
                <w:sz w:val="32"/>
                <w:szCs w:val="32"/>
              </w:rPr>
              <w:t>Occupational standards describe the competences that people need to have to be effective in the workplace. There are changes in existi</w:t>
            </w:r>
            <w:r w:rsidR="00B97E76">
              <w:rPr>
                <w:sz w:val="32"/>
                <w:szCs w:val="32"/>
              </w:rPr>
              <w:t xml:space="preserve">ng occupations and </w:t>
            </w:r>
            <w:r w:rsidR="004801AF">
              <w:rPr>
                <w:sz w:val="32"/>
                <w:szCs w:val="32"/>
              </w:rPr>
              <w:t xml:space="preserve">completely </w:t>
            </w:r>
            <w:r w:rsidR="00B97E76">
              <w:rPr>
                <w:sz w:val="32"/>
                <w:szCs w:val="32"/>
              </w:rPr>
              <w:t>new</w:t>
            </w:r>
            <w:r>
              <w:rPr>
                <w:sz w:val="32"/>
                <w:szCs w:val="32"/>
              </w:rPr>
              <w:t xml:space="preserve"> occupations</w:t>
            </w:r>
            <w:r w:rsidR="00B97E76">
              <w:rPr>
                <w:sz w:val="32"/>
                <w:szCs w:val="32"/>
              </w:rPr>
              <w:t xml:space="preserve"> emerging</w:t>
            </w:r>
            <w:r>
              <w:rPr>
                <w:sz w:val="32"/>
                <w:szCs w:val="32"/>
              </w:rPr>
              <w:t xml:space="preserve">. The Classifier of Occupations is </w:t>
            </w:r>
            <w:r w:rsidR="00B97E76">
              <w:rPr>
                <w:sz w:val="32"/>
                <w:szCs w:val="32"/>
              </w:rPr>
              <w:t xml:space="preserve">sometimes </w:t>
            </w:r>
            <w:r>
              <w:rPr>
                <w:sz w:val="32"/>
                <w:szCs w:val="32"/>
              </w:rPr>
              <w:t xml:space="preserve">a barrier to </w:t>
            </w:r>
            <w:r w:rsidR="004801AF">
              <w:rPr>
                <w:sz w:val="32"/>
                <w:szCs w:val="32"/>
              </w:rPr>
              <w:t xml:space="preserve">these </w:t>
            </w:r>
            <w:r>
              <w:rPr>
                <w:sz w:val="32"/>
                <w:szCs w:val="32"/>
              </w:rPr>
              <w:t>innovations</w:t>
            </w:r>
            <w:r w:rsidR="00B97E76">
              <w:rPr>
                <w:sz w:val="32"/>
                <w:szCs w:val="32"/>
              </w:rPr>
              <w:t xml:space="preserve">. </w:t>
            </w:r>
          </w:p>
        </w:tc>
      </w:tr>
      <w:tr w:rsidR="00B97E76" w:rsidTr="000D7616">
        <w:tc>
          <w:tcPr>
            <w:tcW w:w="4508" w:type="dxa"/>
          </w:tcPr>
          <w:p w:rsidR="00B97E76" w:rsidRPr="007D4BED" w:rsidRDefault="00B97E76">
            <w:r w:rsidRPr="00B97E76">
              <w:rPr>
                <w:noProof/>
                <w:lang w:eastAsia="en-GB"/>
              </w:rPr>
              <w:drawing>
                <wp:inline distT="0" distB="0" distL="0" distR="0" wp14:anchorId="196D7E55" wp14:editId="00D8CC3F">
                  <wp:extent cx="2721600" cy="1526400"/>
                  <wp:effectExtent l="0" t="0" r="3175" b="0"/>
                  <wp:docPr id="11" name="Content Placeholder 4">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24E87C9-CD2E-6A47-AB3A-C1AE4365D5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24E87C9-CD2E-6A47-AB3A-C1AE4365D5CD}"/>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1600" cy="1526400"/>
                          </a:xfrm>
                          <a:prstGeom prst="rect">
                            <a:avLst/>
                          </a:prstGeom>
                        </pic:spPr>
                      </pic:pic>
                    </a:graphicData>
                  </a:graphic>
                </wp:inline>
              </w:drawing>
            </w:r>
          </w:p>
        </w:tc>
        <w:tc>
          <w:tcPr>
            <w:tcW w:w="6119" w:type="dxa"/>
          </w:tcPr>
          <w:p w:rsidR="00B97E76" w:rsidRDefault="009637B1" w:rsidP="00605B29">
            <w:pPr>
              <w:rPr>
                <w:sz w:val="32"/>
                <w:szCs w:val="32"/>
              </w:rPr>
            </w:pPr>
            <w:r>
              <w:rPr>
                <w:sz w:val="32"/>
                <w:szCs w:val="32"/>
              </w:rPr>
              <w:t>Our research shows that 150 countries develop National Frameworks of Qualifications. Moreover</w:t>
            </w:r>
            <w:r w:rsidR="00605B29">
              <w:rPr>
                <w:sz w:val="32"/>
                <w:szCs w:val="32"/>
              </w:rPr>
              <w:t>,</w:t>
            </w:r>
            <w:r>
              <w:rPr>
                <w:sz w:val="32"/>
                <w:szCs w:val="32"/>
              </w:rPr>
              <w:t xml:space="preserve"> there are Qualifications Frameworks that cover several countries, including EQF, the QF of the</w:t>
            </w:r>
            <w:r w:rsidR="00605B29">
              <w:rPr>
                <w:sz w:val="32"/>
                <w:szCs w:val="32"/>
              </w:rPr>
              <w:t xml:space="preserve"> European Higher Education Area and the ASEAN</w:t>
            </w:r>
            <w:r>
              <w:rPr>
                <w:sz w:val="32"/>
                <w:szCs w:val="32"/>
              </w:rPr>
              <w:t xml:space="preserve"> Qualifica</w:t>
            </w:r>
            <w:r w:rsidR="00605B29">
              <w:rPr>
                <w:sz w:val="32"/>
                <w:szCs w:val="32"/>
              </w:rPr>
              <w:t>tions Reference Framework.</w:t>
            </w:r>
          </w:p>
        </w:tc>
      </w:tr>
      <w:tr w:rsidR="009637B1" w:rsidTr="000D7616">
        <w:tc>
          <w:tcPr>
            <w:tcW w:w="4508" w:type="dxa"/>
          </w:tcPr>
          <w:p w:rsidR="009637B1" w:rsidRPr="00B97E76" w:rsidRDefault="009637B1">
            <w:r w:rsidRPr="009637B1">
              <w:rPr>
                <w:noProof/>
                <w:lang w:eastAsia="en-GB"/>
              </w:rPr>
              <w:drawing>
                <wp:inline distT="0" distB="0" distL="0" distR="0" wp14:anchorId="7A7EC0B3" wp14:editId="4EBD12E2">
                  <wp:extent cx="2721600" cy="1522800"/>
                  <wp:effectExtent l="0" t="0" r="3175" b="1270"/>
                  <wp:docPr id="12" name="Content Placeholder 4">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E1A6ADF-6596-FF48-AA54-A18A67E638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E1A6ADF-6596-FF48-AA54-A18A67E638A8}"/>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1600" cy="1522800"/>
                          </a:xfrm>
                          <a:prstGeom prst="rect">
                            <a:avLst/>
                          </a:prstGeom>
                        </pic:spPr>
                      </pic:pic>
                    </a:graphicData>
                  </a:graphic>
                </wp:inline>
              </w:drawing>
            </w:r>
          </w:p>
        </w:tc>
        <w:tc>
          <w:tcPr>
            <w:tcW w:w="6119" w:type="dxa"/>
          </w:tcPr>
          <w:p w:rsidR="009637B1" w:rsidRDefault="009637B1" w:rsidP="004801AF">
            <w:pPr>
              <w:rPr>
                <w:sz w:val="32"/>
                <w:szCs w:val="32"/>
              </w:rPr>
            </w:pPr>
            <w:r>
              <w:rPr>
                <w:sz w:val="32"/>
                <w:szCs w:val="32"/>
              </w:rPr>
              <w:t xml:space="preserve">The EQF covers 39 countries </w:t>
            </w:r>
            <w:r w:rsidR="004801AF">
              <w:rPr>
                <w:sz w:val="32"/>
                <w:szCs w:val="32"/>
              </w:rPr>
              <w:t xml:space="preserve">in and around the </w:t>
            </w:r>
            <w:r>
              <w:rPr>
                <w:sz w:val="32"/>
                <w:szCs w:val="32"/>
              </w:rPr>
              <w:t xml:space="preserve">EU to </w:t>
            </w:r>
            <w:r w:rsidR="004801AF">
              <w:rPr>
                <w:sz w:val="32"/>
                <w:szCs w:val="32"/>
              </w:rPr>
              <w:t xml:space="preserve">allow </w:t>
            </w:r>
            <w:r>
              <w:rPr>
                <w:sz w:val="32"/>
                <w:szCs w:val="32"/>
              </w:rPr>
              <w:t>compar</w:t>
            </w:r>
            <w:r w:rsidR="004801AF">
              <w:rPr>
                <w:sz w:val="32"/>
                <w:szCs w:val="32"/>
              </w:rPr>
              <w:t xml:space="preserve">ison of </w:t>
            </w:r>
            <w:r>
              <w:rPr>
                <w:sz w:val="32"/>
                <w:szCs w:val="32"/>
              </w:rPr>
              <w:t>their qualification</w:t>
            </w:r>
            <w:r w:rsidR="00F96997">
              <w:rPr>
                <w:sz w:val="32"/>
                <w:szCs w:val="32"/>
              </w:rPr>
              <w:t>s</w:t>
            </w:r>
            <w:r w:rsidR="00605B29">
              <w:rPr>
                <w:sz w:val="32"/>
                <w:szCs w:val="32"/>
              </w:rPr>
              <w:t>. The a</w:t>
            </w:r>
            <w:r>
              <w:rPr>
                <w:sz w:val="32"/>
                <w:szCs w:val="32"/>
              </w:rPr>
              <w:t xml:space="preserve">ssociation agreement mentions the EQF and </w:t>
            </w:r>
            <w:r w:rsidR="00F96997">
              <w:rPr>
                <w:sz w:val="32"/>
                <w:szCs w:val="32"/>
              </w:rPr>
              <w:t>the new 2018 EQF Recommendation</w:t>
            </w:r>
            <w:r>
              <w:rPr>
                <w:sz w:val="32"/>
                <w:szCs w:val="32"/>
              </w:rPr>
              <w:t xml:space="preserve"> opens the door for alignment with Ukraine, but first </w:t>
            </w:r>
            <w:r w:rsidR="004801AF">
              <w:rPr>
                <w:sz w:val="32"/>
                <w:szCs w:val="32"/>
              </w:rPr>
              <w:t>we need</w:t>
            </w:r>
            <w:r w:rsidR="00605B29">
              <w:rPr>
                <w:sz w:val="32"/>
                <w:szCs w:val="32"/>
              </w:rPr>
              <w:t xml:space="preserve"> </w:t>
            </w:r>
            <w:r>
              <w:rPr>
                <w:sz w:val="32"/>
                <w:szCs w:val="32"/>
              </w:rPr>
              <w:t>qualifications in the NQF.</w:t>
            </w:r>
          </w:p>
        </w:tc>
      </w:tr>
      <w:tr w:rsidR="009637B1" w:rsidTr="000D7616">
        <w:tc>
          <w:tcPr>
            <w:tcW w:w="4508" w:type="dxa"/>
          </w:tcPr>
          <w:p w:rsidR="009637B1" w:rsidRPr="009637B1" w:rsidRDefault="009637B1">
            <w:r w:rsidRPr="009637B1">
              <w:rPr>
                <w:noProof/>
                <w:lang w:eastAsia="en-GB"/>
              </w:rPr>
              <w:lastRenderedPageBreak/>
              <w:drawing>
                <wp:inline distT="0" distB="0" distL="0" distR="0" wp14:anchorId="7EDD9D0B" wp14:editId="77758EF6">
                  <wp:extent cx="2732400" cy="1537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2400" cy="1537200"/>
                          </a:xfrm>
                          <a:prstGeom prst="rect">
                            <a:avLst/>
                          </a:prstGeom>
                        </pic:spPr>
                      </pic:pic>
                    </a:graphicData>
                  </a:graphic>
                </wp:inline>
              </w:drawing>
            </w:r>
          </w:p>
        </w:tc>
        <w:tc>
          <w:tcPr>
            <w:tcW w:w="6119" w:type="dxa"/>
          </w:tcPr>
          <w:p w:rsidR="009637B1" w:rsidRDefault="00F96997" w:rsidP="004801AF">
            <w:pPr>
              <w:rPr>
                <w:sz w:val="32"/>
                <w:szCs w:val="32"/>
              </w:rPr>
            </w:pPr>
            <w:r>
              <w:rPr>
                <w:sz w:val="32"/>
                <w:szCs w:val="32"/>
              </w:rPr>
              <w:t xml:space="preserve">NAK is a collegial body that acts between stakeholders and institutions. This is a balancing </w:t>
            </w:r>
            <w:proofErr w:type="gramStart"/>
            <w:r>
              <w:rPr>
                <w:sz w:val="32"/>
                <w:szCs w:val="32"/>
              </w:rPr>
              <w:t>act</w:t>
            </w:r>
            <w:r w:rsidR="004801AF">
              <w:rPr>
                <w:sz w:val="32"/>
                <w:szCs w:val="32"/>
              </w:rPr>
              <w:t>,</w:t>
            </w:r>
            <w:r>
              <w:rPr>
                <w:sz w:val="32"/>
                <w:szCs w:val="32"/>
              </w:rPr>
              <w:t xml:space="preserve"> </w:t>
            </w:r>
            <w:r w:rsidR="004801AF">
              <w:rPr>
                <w:sz w:val="32"/>
                <w:szCs w:val="32"/>
              </w:rPr>
              <w:t>that</w:t>
            </w:r>
            <w:proofErr w:type="gramEnd"/>
            <w:r w:rsidR="004801AF">
              <w:rPr>
                <w:sz w:val="32"/>
                <w:szCs w:val="32"/>
              </w:rPr>
              <w:t xml:space="preserve"> requires</w:t>
            </w:r>
            <w:r>
              <w:rPr>
                <w:sz w:val="32"/>
                <w:szCs w:val="32"/>
              </w:rPr>
              <w:t xml:space="preserve"> good coordination. Coordination is not telling others what to do, but </w:t>
            </w:r>
            <w:r w:rsidR="004801AF">
              <w:rPr>
                <w:sz w:val="32"/>
                <w:szCs w:val="32"/>
              </w:rPr>
              <w:t xml:space="preserve">bringing together </w:t>
            </w:r>
            <w:r>
              <w:rPr>
                <w:sz w:val="32"/>
                <w:szCs w:val="32"/>
              </w:rPr>
              <w:t xml:space="preserve">different inputs and making </w:t>
            </w:r>
            <w:r w:rsidR="00605B29">
              <w:rPr>
                <w:sz w:val="32"/>
                <w:szCs w:val="32"/>
              </w:rPr>
              <w:t>sure,</w:t>
            </w:r>
            <w:r>
              <w:rPr>
                <w:sz w:val="32"/>
                <w:szCs w:val="32"/>
              </w:rPr>
              <w:t xml:space="preserve"> they lead to good results.</w:t>
            </w:r>
          </w:p>
        </w:tc>
      </w:tr>
      <w:tr w:rsidR="00F96997" w:rsidTr="000D7616">
        <w:tc>
          <w:tcPr>
            <w:tcW w:w="4508" w:type="dxa"/>
          </w:tcPr>
          <w:p w:rsidR="00F96997" w:rsidRPr="009637B1" w:rsidRDefault="00F96997">
            <w:r w:rsidRPr="00F96997">
              <w:rPr>
                <w:noProof/>
                <w:lang w:eastAsia="en-GB"/>
              </w:rPr>
              <w:drawing>
                <wp:inline distT="0" distB="0" distL="0" distR="0" wp14:anchorId="11CB2A1D" wp14:editId="78884687">
                  <wp:extent cx="2700000" cy="1342800"/>
                  <wp:effectExtent l="0" t="0" r="5715" b="0"/>
                  <wp:docPr id="14" name="Picture 4">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5C343AD-FCC3-FE4B-BC65-2CF0B65A3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5C343AD-FCC3-FE4B-BC65-2CF0B65A37D6}"/>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00000" cy="1342800"/>
                          </a:xfrm>
                          <a:prstGeom prst="rect">
                            <a:avLst/>
                          </a:prstGeom>
                        </pic:spPr>
                      </pic:pic>
                    </a:graphicData>
                  </a:graphic>
                </wp:inline>
              </w:drawing>
            </w:r>
          </w:p>
        </w:tc>
        <w:tc>
          <w:tcPr>
            <w:tcW w:w="6119" w:type="dxa"/>
          </w:tcPr>
          <w:p w:rsidR="00F96997" w:rsidRDefault="00993488" w:rsidP="009C73BB">
            <w:pPr>
              <w:rPr>
                <w:sz w:val="32"/>
                <w:szCs w:val="32"/>
              </w:rPr>
            </w:pPr>
            <w:r>
              <w:rPr>
                <w:sz w:val="32"/>
                <w:szCs w:val="32"/>
              </w:rPr>
              <w:t xml:space="preserve">In order to use the opportunities </w:t>
            </w:r>
            <w:r w:rsidR="004801AF">
              <w:rPr>
                <w:sz w:val="32"/>
                <w:szCs w:val="32"/>
              </w:rPr>
              <w:t xml:space="preserve">of the NQF </w:t>
            </w:r>
            <w:r>
              <w:rPr>
                <w:sz w:val="32"/>
                <w:szCs w:val="32"/>
              </w:rPr>
              <w:t>and help people to get access to qualifications</w:t>
            </w:r>
            <w:r w:rsidR="00605B29">
              <w:rPr>
                <w:sz w:val="32"/>
                <w:szCs w:val="32"/>
              </w:rPr>
              <w:t>,</w:t>
            </w:r>
            <w:r>
              <w:rPr>
                <w:sz w:val="32"/>
                <w:szCs w:val="32"/>
              </w:rPr>
              <w:t xml:space="preserve"> NA</w:t>
            </w:r>
            <w:r w:rsidR="00605B29">
              <w:rPr>
                <w:sz w:val="32"/>
                <w:szCs w:val="32"/>
              </w:rPr>
              <w:t>K wi</w:t>
            </w:r>
            <w:r w:rsidR="004801AF">
              <w:rPr>
                <w:sz w:val="32"/>
                <w:szCs w:val="32"/>
              </w:rPr>
              <w:t xml:space="preserve">ll have to communicate with actors and </w:t>
            </w:r>
            <w:r w:rsidR="00605B29">
              <w:rPr>
                <w:sz w:val="32"/>
                <w:szCs w:val="32"/>
              </w:rPr>
              <w:t>final beneficiaries (learners, employers)</w:t>
            </w:r>
            <w:r w:rsidR="009C73BB">
              <w:rPr>
                <w:sz w:val="32"/>
                <w:szCs w:val="32"/>
              </w:rPr>
              <w:t>. This</w:t>
            </w:r>
            <w:r>
              <w:rPr>
                <w:sz w:val="32"/>
                <w:szCs w:val="32"/>
              </w:rPr>
              <w:t xml:space="preserve"> is more than just providing information. A website </w:t>
            </w:r>
            <w:proofErr w:type="gramStart"/>
            <w:r>
              <w:rPr>
                <w:sz w:val="32"/>
                <w:szCs w:val="32"/>
              </w:rPr>
              <w:t>is already designed</w:t>
            </w:r>
            <w:proofErr w:type="gramEnd"/>
            <w:r>
              <w:rPr>
                <w:sz w:val="32"/>
                <w:szCs w:val="32"/>
              </w:rPr>
              <w:t>.</w:t>
            </w:r>
          </w:p>
        </w:tc>
      </w:tr>
      <w:tr w:rsidR="00993488" w:rsidTr="000D7616">
        <w:tc>
          <w:tcPr>
            <w:tcW w:w="4508" w:type="dxa"/>
          </w:tcPr>
          <w:p w:rsidR="00993488" w:rsidRPr="00F96997" w:rsidRDefault="00993488">
            <w:r w:rsidRPr="00993488">
              <w:rPr>
                <w:noProof/>
                <w:lang w:eastAsia="en-GB"/>
              </w:rPr>
              <w:drawing>
                <wp:inline distT="0" distB="0" distL="0" distR="0" wp14:anchorId="63254322" wp14:editId="7DDF488B">
                  <wp:extent cx="2721600" cy="1526400"/>
                  <wp:effectExtent l="0" t="0" r="3175" b="0"/>
                  <wp:docPr id="15" name="Picture 4">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57F7405-0946-C147-9A48-849437712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57F7405-0946-C147-9A48-84943771227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1600" cy="1526400"/>
                          </a:xfrm>
                          <a:prstGeom prst="rect">
                            <a:avLst/>
                          </a:prstGeom>
                        </pic:spPr>
                      </pic:pic>
                    </a:graphicData>
                  </a:graphic>
                </wp:inline>
              </w:drawing>
            </w:r>
          </w:p>
        </w:tc>
        <w:tc>
          <w:tcPr>
            <w:tcW w:w="6119" w:type="dxa"/>
          </w:tcPr>
          <w:p w:rsidR="00993488" w:rsidRDefault="00993488" w:rsidP="009C73BB">
            <w:pPr>
              <w:rPr>
                <w:sz w:val="32"/>
                <w:szCs w:val="32"/>
              </w:rPr>
            </w:pPr>
            <w:r>
              <w:rPr>
                <w:sz w:val="32"/>
                <w:szCs w:val="32"/>
              </w:rPr>
              <w:t xml:space="preserve">The legacy of the Tariff Qualification System is strong, but many aspects are </w:t>
            </w:r>
            <w:r w:rsidR="009C73BB">
              <w:rPr>
                <w:sz w:val="32"/>
                <w:szCs w:val="32"/>
              </w:rPr>
              <w:t>out of date</w:t>
            </w:r>
            <w:r>
              <w:rPr>
                <w:sz w:val="32"/>
                <w:szCs w:val="32"/>
              </w:rPr>
              <w:t xml:space="preserve">. NAK </w:t>
            </w:r>
            <w:r w:rsidR="009C73BB">
              <w:rPr>
                <w:sz w:val="32"/>
                <w:szCs w:val="32"/>
              </w:rPr>
              <w:t xml:space="preserve">will help to create </w:t>
            </w:r>
            <w:r>
              <w:rPr>
                <w:sz w:val="32"/>
                <w:szCs w:val="32"/>
              </w:rPr>
              <w:t xml:space="preserve">a new Qualifications System </w:t>
            </w:r>
            <w:r w:rsidR="002F43E0">
              <w:rPr>
                <w:sz w:val="32"/>
                <w:szCs w:val="32"/>
              </w:rPr>
              <w:t xml:space="preserve">for the </w:t>
            </w:r>
            <w:r>
              <w:rPr>
                <w:sz w:val="32"/>
                <w:szCs w:val="32"/>
              </w:rPr>
              <w:t>21</w:t>
            </w:r>
            <w:r w:rsidR="002F43E0">
              <w:rPr>
                <w:sz w:val="32"/>
                <w:szCs w:val="32"/>
              </w:rPr>
              <w:t>st</w:t>
            </w:r>
            <w:r>
              <w:rPr>
                <w:sz w:val="32"/>
                <w:szCs w:val="32"/>
              </w:rPr>
              <w:t xml:space="preserve"> century. One </w:t>
            </w:r>
            <w:r w:rsidR="002F43E0">
              <w:rPr>
                <w:sz w:val="32"/>
                <w:szCs w:val="32"/>
              </w:rPr>
              <w:t>urgent</w:t>
            </w:r>
            <w:r>
              <w:rPr>
                <w:sz w:val="32"/>
                <w:szCs w:val="32"/>
              </w:rPr>
              <w:t xml:space="preserve"> tasks is to stimulate the developme</w:t>
            </w:r>
            <w:r w:rsidR="002F43E0">
              <w:rPr>
                <w:sz w:val="32"/>
                <w:szCs w:val="32"/>
              </w:rPr>
              <w:t xml:space="preserve">nt of occupational standards </w:t>
            </w:r>
            <w:r>
              <w:rPr>
                <w:sz w:val="32"/>
                <w:szCs w:val="32"/>
              </w:rPr>
              <w:t>replac</w:t>
            </w:r>
            <w:r w:rsidR="002F43E0">
              <w:rPr>
                <w:sz w:val="32"/>
                <w:szCs w:val="32"/>
              </w:rPr>
              <w:t>ing</w:t>
            </w:r>
            <w:r>
              <w:rPr>
                <w:sz w:val="32"/>
                <w:szCs w:val="32"/>
              </w:rPr>
              <w:t xml:space="preserve"> qualification characteristics</w:t>
            </w:r>
            <w:r w:rsidR="002F43E0">
              <w:rPr>
                <w:sz w:val="32"/>
                <w:szCs w:val="32"/>
              </w:rPr>
              <w:t>.</w:t>
            </w:r>
          </w:p>
        </w:tc>
      </w:tr>
      <w:tr w:rsidR="002F43E0" w:rsidTr="000D7616">
        <w:tc>
          <w:tcPr>
            <w:tcW w:w="4508" w:type="dxa"/>
          </w:tcPr>
          <w:p w:rsidR="002F43E0" w:rsidRPr="00993488" w:rsidRDefault="002F43E0">
            <w:r w:rsidRPr="002F43E0">
              <w:rPr>
                <w:noProof/>
                <w:lang w:eastAsia="en-GB"/>
              </w:rPr>
              <w:drawing>
                <wp:inline distT="0" distB="0" distL="0" distR="0" wp14:anchorId="1A128A5A" wp14:editId="7934E4F7">
                  <wp:extent cx="2714400" cy="152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4400" cy="1526400"/>
                          </a:xfrm>
                          <a:prstGeom prst="rect">
                            <a:avLst/>
                          </a:prstGeom>
                        </pic:spPr>
                      </pic:pic>
                    </a:graphicData>
                  </a:graphic>
                </wp:inline>
              </w:drawing>
            </w:r>
          </w:p>
        </w:tc>
        <w:tc>
          <w:tcPr>
            <w:tcW w:w="6119" w:type="dxa"/>
          </w:tcPr>
          <w:p w:rsidR="002F43E0" w:rsidRDefault="002F43E0" w:rsidP="00642380">
            <w:pPr>
              <w:rPr>
                <w:sz w:val="32"/>
                <w:szCs w:val="32"/>
              </w:rPr>
            </w:pPr>
            <w:r>
              <w:rPr>
                <w:sz w:val="32"/>
                <w:szCs w:val="32"/>
              </w:rPr>
              <w:t xml:space="preserve">Occupational standards are the starting point for defining educational standards that inform decentralised education programmes and for </w:t>
            </w:r>
            <w:r w:rsidR="00642380">
              <w:rPr>
                <w:sz w:val="32"/>
                <w:szCs w:val="32"/>
              </w:rPr>
              <w:t xml:space="preserve">elaborating </w:t>
            </w:r>
            <w:r>
              <w:rPr>
                <w:sz w:val="32"/>
                <w:szCs w:val="32"/>
              </w:rPr>
              <w:t>assessment standards for independent assessment of graduates and validation of non-formal and informal learning in Qualification Centres.</w:t>
            </w:r>
          </w:p>
        </w:tc>
      </w:tr>
      <w:tr w:rsidR="002F43E0" w:rsidTr="000D7616">
        <w:tc>
          <w:tcPr>
            <w:tcW w:w="4508" w:type="dxa"/>
          </w:tcPr>
          <w:p w:rsidR="002F43E0" w:rsidRPr="002F43E0" w:rsidRDefault="002F43E0">
            <w:r w:rsidRPr="002F43E0">
              <w:rPr>
                <w:noProof/>
                <w:lang w:eastAsia="en-GB"/>
              </w:rPr>
              <w:drawing>
                <wp:inline distT="0" distB="0" distL="0" distR="0" wp14:anchorId="1F6BD014" wp14:editId="3A650ED7">
                  <wp:extent cx="2714400" cy="152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4400" cy="1526400"/>
                          </a:xfrm>
                          <a:prstGeom prst="rect">
                            <a:avLst/>
                          </a:prstGeom>
                        </pic:spPr>
                      </pic:pic>
                    </a:graphicData>
                  </a:graphic>
                </wp:inline>
              </w:drawing>
            </w:r>
          </w:p>
        </w:tc>
        <w:tc>
          <w:tcPr>
            <w:tcW w:w="6119" w:type="dxa"/>
          </w:tcPr>
          <w:p w:rsidR="002F43E0" w:rsidRDefault="00054F08" w:rsidP="009C73BB">
            <w:pPr>
              <w:rPr>
                <w:sz w:val="32"/>
                <w:szCs w:val="32"/>
              </w:rPr>
            </w:pPr>
            <w:r>
              <w:rPr>
                <w:sz w:val="32"/>
                <w:szCs w:val="32"/>
              </w:rPr>
              <w:t xml:space="preserve">The value of qualifications in Ukraine is often not clear. </w:t>
            </w:r>
            <w:r w:rsidR="009C73BB">
              <w:rPr>
                <w:sz w:val="32"/>
                <w:szCs w:val="32"/>
              </w:rPr>
              <w:t>Safeguarding</w:t>
            </w:r>
            <w:r>
              <w:rPr>
                <w:sz w:val="32"/>
                <w:szCs w:val="32"/>
              </w:rPr>
              <w:t xml:space="preserve"> the quality of qualifications </w:t>
            </w:r>
            <w:r w:rsidR="009C73BB">
              <w:rPr>
                <w:sz w:val="32"/>
                <w:szCs w:val="32"/>
              </w:rPr>
              <w:t>is</w:t>
            </w:r>
            <w:r>
              <w:rPr>
                <w:sz w:val="32"/>
                <w:szCs w:val="32"/>
              </w:rPr>
              <w:t xml:space="preserve"> the main mission of </w:t>
            </w:r>
            <w:r w:rsidR="008D3355">
              <w:rPr>
                <w:sz w:val="32"/>
                <w:szCs w:val="32"/>
              </w:rPr>
              <w:t>NAK. Some people are sceptical about it. Others with high hopes</w:t>
            </w:r>
            <w:r>
              <w:rPr>
                <w:sz w:val="32"/>
                <w:szCs w:val="32"/>
              </w:rPr>
              <w:t xml:space="preserve">. Quality and quality assurance should be guiding principles in what NAK does. </w:t>
            </w:r>
          </w:p>
        </w:tc>
      </w:tr>
      <w:tr w:rsidR="00054F08" w:rsidTr="000D7616">
        <w:tc>
          <w:tcPr>
            <w:tcW w:w="4508" w:type="dxa"/>
          </w:tcPr>
          <w:p w:rsidR="00054F08" w:rsidRPr="002F43E0" w:rsidRDefault="00054F08">
            <w:r w:rsidRPr="00054F08">
              <w:rPr>
                <w:noProof/>
                <w:lang w:eastAsia="en-GB"/>
              </w:rPr>
              <w:lastRenderedPageBreak/>
              <w:drawing>
                <wp:inline distT="0" distB="0" distL="0" distR="0" wp14:anchorId="581CE983" wp14:editId="5D3816E8">
                  <wp:extent cx="2721600" cy="1533600"/>
                  <wp:effectExtent l="0" t="0" r="3175" b="0"/>
                  <wp:docPr id="18" name="Picture 4">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560E6F89-A71C-164D-9B02-936BC9586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560E6F89-A71C-164D-9B02-936BC9586F2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1600" cy="1533600"/>
                          </a:xfrm>
                          <a:prstGeom prst="rect">
                            <a:avLst/>
                          </a:prstGeom>
                        </pic:spPr>
                      </pic:pic>
                    </a:graphicData>
                  </a:graphic>
                </wp:inline>
              </w:drawing>
            </w:r>
          </w:p>
        </w:tc>
        <w:tc>
          <w:tcPr>
            <w:tcW w:w="6119" w:type="dxa"/>
          </w:tcPr>
          <w:p w:rsidR="00054F08" w:rsidRDefault="00054F08" w:rsidP="009C73BB">
            <w:pPr>
              <w:rPr>
                <w:sz w:val="32"/>
                <w:szCs w:val="32"/>
              </w:rPr>
            </w:pPr>
            <w:r>
              <w:rPr>
                <w:sz w:val="32"/>
                <w:szCs w:val="32"/>
              </w:rPr>
              <w:t>With lifelong learning countries move from monopol</w:t>
            </w:r>
            <w:r w:rsidR="009C73BB">
              <w:rPr>
                <w:sz w:val="32"/>
                <w:szCs w:val="32"/>
              </w:rPr>
              <w:t>ies</w:t>
            </w:r>
            <w:r>
              <w:rPr>
                <w:sz w:val="32"/>
                <w:szCs w:val="32"/>
              </w:rPr>
              <w:t xml:space="preserve"> of issuing qualifications </w:t>
            </w:r>
            <w:r w:rsidR="009C73BB">
              <w:rPr>
                <w:sz w:val="32"/>
                <w:szCs w:val="32"/>
              </w:rPr>
              <w:t xml:space="preserve">for specific categories of learners </w:t>
            </w:r>
            <w:r>
              <w:rPr>
                <w:sz w:val="32"/>
                <w:szCs w:val="32"/>
              </w:rPr>
              <w:t>by the Ministr</w:t>
            </w:r>
            <w:r w:rsidR="009C73BB">
              <w:rPr>
                <w:sz w:val="32"/>
                <w:szCs w:val="32"/>
              </w:rPr>
              <w:t>ies</w:t>
            </w:r>
            <w:r>
              <w:rPr>
                <w:sz w:val="32"/>
                <w:szCs w:val="32"/>
              </w:rPr>
              <w:t xml:space="preserve"> of Education, to a market where there are many organisations offering </w:t>
            </w:r>
            <w:r w:rsidR="002C6A7E">
              <w:rPr>
                <w:sz w:val="32"/>
                <w:szCs w:val="32"/>
              </w:rPr>
              <w:t xml:space="preserve">qualifications to people of all ages. NAK helps to </w:t>
            </w:r>
            <w:r w:rsidR="009C73BB">
              <w:rPr>
                <w:sz w:val="32"/>
                <w:szCs w:val="32"/>
              </w:rPr>
              <w:t>regulate</w:t>
            </w:r>
            <w:r w:rsidR="002C6A7E">
              <w:rPr>
                <w:sz w:val="32"/>
                <w:szCs w:val="32"/>
              </w:rPr>
              <w:t xml:space="preserve"> </w:t>
            </w:r>
            <w:r w:rsidR="009C73BB">
              <w:rPr>
                <w:sz w:val="32"/>
                <w:szCs w:val="32"/>
              </w:rPr>
              <w:t>this</w:t>
            </w:r>
            <w:r w:rsidR="002C6A7E">
              <w:rPr>
                <w:sz w:val="32"/>
                <w:szCs w:val="32"/>
              </w:rPr>
              <w:t xml:space="preserve"> market.</w:t>
            </w:r>
          </w:p>
        </w:tc>
      </w:tr>
      <w:tr w:rsidR="002C6A7E" w:rsidTr="000D7616">
        <w:tc>
          <w:tcPr>
            <w:tcW w:w="4508" w:type="dxa"/>
          </w:tcPr>
          <w:p w:rsidR="002C6A7E" w:rsidRPr="00054F08" w:rsidRDefault="002C6A7E">
            <w:r w:rsidRPr="002C6A7E">
              <w:rPr>
                <w:noProof/>
                <w:lang w:eastAsia="en-GB"/>
              </w:rPr>
              <w:drawing>
                <wp:inline distT="0" distB="0" distL="0" distR="0" wp14:anchorId="52343276" wp14:editId="4B9D43C6">
                  <wp:extent cx="2721600" cy="1530000"/>
                  <wp:effectExtent l="0" t="0" r="3175" b="0"/>
                  <wp:docPr id="19" name="Picture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63BEC87-D0A1-0D4A-A3FE-351DB853A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063BEC87-D0A1-0D4A-A3FE-351DB853A055}"/>
                              </a:ext>
                            </a:extLst>
                          </pic:cNvPr>
                          <pic:cNvPicPr>
                            <a:picLocks noChangeAspect="1"/>
                          </pic:cNvPicPr>
                        </pic:nvPicPr>
                        <pic:blipFill>
                          <a:blip r:embed="rId23"/>
                          <a:stretch>
                            <a:fillRect/>
                          </a:stretch>
                        </pic:blipFill>
                        <pic:spPr>
                          <a:xfrm>
                            <a:off x="0" y="0"/>
                            <a:ext cx="2721600" cy="1530000"/>
                          </a:xfrm>
                          <a:prstGeom prst="rect">
                            <a:avLst/>
                          </a:prstGeom>
                        </pic:spPr>
                      </pic:pic>
                    </a:graphicData>
                  </a:graphic>
                </wp:inline>
              </w:drawing>
            </w:r>
          </w:p>
        </w:tc>
        <w:tc>
          <w:tcPr>
            <w:tcW w:w="6119" w:type="dxa"/>
          </w:tcPr>
          <w:p w:rsidR="002C6A7E" w:rsidRDefault="002C6A7E" w:rsidP="009C73BB">
            <w:pPr>
              <w:rPr>
                <w:sz w:val="32"/>
                <w:szCs w:val="32"/>
              </w:rPr>
            </w:pPr>
            <w:r>
              <w:rPr>
                <w:sz w:val="32"/>
                <w:szCs w:val="32"/>
              </w:rPr>
              <w:t xml:space="preserve">On 17/12/2018 the financing agreement on the EU4Skills project for the modernisation of vocational education </w:t>
            </w:r>
            <w:proofErr w:type="gramStart"/>
            <w:r>
              <w:rPr>
                <w:sz w:val="32"/>
                <w:szCs w:val="32"/>
              </w:rPr>
              <w:t>was signed</w:t>
            </w:r>
            <w:proofErr w:type="gramEnd"/>
            <w:r w:rsidR="00605B29">
              <w:rPr>
                <w:sz w:val="32"/>
                <w:szCs w:val="32"/>
              </w:rPr>
              <w:t xml:space="preserve">, that includes support for the capacity building for NAK. Our GIZ colleagues here </w:t>
            </w:r>
            <w:r w:rsidR="009C73BB">
              <w:rPr>
                <w:sz w:val="32"/>
                <w:szCs w:val="32"/>
              </w:rPr>
              <w:t>want to</w:t>
            </w:r>
            <w:r w:rsidR="00605B29">
              <w:rPr>
                <w:sz w:val="32"/>
                <w:szCs w:val="32"/>
              </w:rPr>
              <w:t xml:space="preserve"> understand how they can support NAK with the project.</w:t>
            </w:r>
          </w:p>
        </w:tc>
      </w:tr>
      <w:tr w:rsidR="00605B29" w:rsidTr="000D7616">
        <w:tc>
          <w:tcPr>
            <w:tcW w:w="4508" w:type="dxa"/>
          </w:tcPr>
          <w:p w:rsidR="00605B29" w:rsidRPr="002C6A7E" w:rsidRDefault="00605B29">
            <w:r w:rsidRPr="00605B29">
              <w:rPr>
                <w:noProof/>
                <w:lang w:eastAsia="en-GB"/>
              </w:rPr>
              <w:drawing>
                <wp:inline distT="0" distB="0" distL="0" distR="0" wp14:anchorId="3DED677B" wp14:editId="7F68DED3">
                  <wp:extent cx="2732400" cy="1634400"/>
                  <wp:effectExtent l="0" t="0" r="0" b="4445"/>
                  <wp:docPr id="20" name="Picture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1754425-5F2B-C04D-AE00-8C41ED7C5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1754425-5F2B-C04D-AE00-8C41ED7C53A3}"/>
                              </a:ext>
                            </a:extLst>
                          </pic:cNvPr>
                          <pic:cNvPicPr>
                            <a:picLocks noChangeAspect="1"/>
                          </pic:cNvPicPr>
                        </pic:nvPicPr>
                        <pic:blipFill>
                          <a:blip r:embed="rId24"/>
                          <a:stretch>
                            <a:fillRect/>
                          </a:stretch>
                        </pic:blipFill>
                        <pic:spPr>
                          <a:xfrm>
                            <a:off x="0" y="0"/>
                            <a:ext cx="2732400" cy="1634400"/>
                          </a:xfrm>
                          <a:prstGeom prst="rect">
                            <a:avLst/>
                          </a:prstGeom>
                        </pic:spPr>
                      </pic:pic>
                    </a:graphicData>
                  </a:graphic>
                </wp:inline>
              </w:drawing>
            </w:r>
          </w:p>
        </w:tc>
        <w:tc>
          <w:tcPr>
            <w:tcW w:w="6119" w:type="dxa"/>
          </w:tcPr>
          <w:p w:rsidR="00605B29" w:rsidRDefault="00642380" w:rsidP="002C6A7E">
            <w:pPr>
              <w:rPr>
                <w:sz w:val="32"/>
                <w:szCs w:val="32"/>
              </w:rPr>
            </w:pPr>
            <w:r>
              <w:rPr>
                <w:sz w:val="32"/>
                <w:szCs w:val="32"/>
              </w:rPr>
              <w:t>Today you may think NAK will have a very difficult task and we will never manage. We hope that on Thursday you will have a better view of what is ahead and can return home with some self-confidence.</w:t>
            </w:r>
          </w:p>
        </w:tc>
      </w:tr>
    </w:tbl>
    <w:p w:rsidR="007E7652" w:rsidRDefault="007E7652"/>
    <w:sectPr w:rsidR="007E7652" w:rsidSect="000D76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B21700"/>
    <w:multiLevelType w:val="hybridMultilevel"/>
    <w:tmpl w:val="174C1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6DB"/>
    <w:rsid w:val="00054F08"/>
    <w:rsid w:val="000D7616"/>
    <w:rsid w:val="002C6A7E"/>
    <w:rsid w:val="002F43E0"/>
    <w:rsid w:val="004516DB"/>
    <w:rsid w:val="004801AF"/>
    <w:rsid w:val="005A49EB"/>
    <w:rsid w:val="00605B29"/>
    <w:rsid w:val="00642380"/>
    <w:rsid w:val="007D4BED"/>
    <w:rsid w:val="007E7652"/>
    <w:rsid w:val="008411DE"/>
    <w:rsid w:val="008D3355"/>
    <w:rsid w:val="009637B1"/>
    <w:rsid w:val="00993488"/>
    <w:rsid w:val="009C73BB"/>
    <w:rsid w:val="00B97E76"/>
    <w:rsid w:val="00E44660"/>
    <w:rsid w:val="00F96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FA63ED-8EB0-43B1-B16D-DA0AEFDC8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1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7616"/>
    <w:pPr>
      <w:ind w:left="720"/>
      <w:contextualSpacing/>
    </w:pPr>
  </w:style>
  <w:style w:type="paragraph" w:styleId="BalloonText">
    <w:name w:val="Balloon Text"/>
    <w:basedOn w:val="Normal"/>
    <w:link w:val="BalloonTextChar"/>
    <w:uiPriority w:val="99"/>
    <w:semiHidden/>
    <w:unhideWhenUsed/>
    <w:rsid w:val="004801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1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tif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tif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E997BF52</Template>
  <TotalTime>0</TotalTime>
  <Pages>4</Pages>
  <Words>727</Words>
  <Characters>4145</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Arjen Deij</dc:creator>
  <cp:keywords/>
  <dc:description/>
  <cp:lastModifiedBy>Inna Dergunova</cp:lastModifiedBy>
  <cp:revision>2</cp:revision>
  <cp:lastPrinted>2019-02-25T11:29:00Z</cp:lastPrinted>
  <dcterms:created xsi:type="dcterms:W3CDTF">2019-02-25T12:32:00Z</dcterms:created>
  <dcterms:modified xsi:type="dcterms:W3CDTF">2019-02-25T12:32:00Z</dcterms:modified>
</cp:coreProperties>
</file>