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9B883" w14:textId="2A45DA2F" w:rsidR="00AA6FFC" w:rsidRDefault="00AA6FFC">
      <w:pPr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7247383C" wp14:editId="308287C7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16940" cy="400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83BF9" w14:textId="55E326FD" w:rsidR="00AA6FFC" w:rsidRDefault="00AA6FFC">
      <w:pPr>
        <w:rPr>
          <w:b/>
          <w:sz w:val="28"/>
        </w:rPr>
      </w:pPr>
    </w:p>
    <w:p w14:paraId="493B2886" w14:textId="36EC25AF" w:rsidR="00AA6FFC" w:rsidRDefault="006F7313" w:rsidP="00AA6FFC">
      <w:pPr>
        <w:pStyle w:val="Covertitle"/>
        <w:rPr>
          <w:b w:val="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87E6F" wp14:editId="4DE3DBE5">
                <wp:simplePos x="0" y="0"/>
                <wp:positionH relativeFrom="rightMargin">
                  <wp:posOffset>-161925</wp:posOffset>
                </wp:positionH>
                <wp:positionV relativeFrom="paragraph">
                  <wp:posOffset>802005</wp:posOffset>
                </wp:positionV>
                <wp:extent cx="247650" cy="2286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CEAA7" id="Oval 10" o:spid="_x0000_s1026" style="position:absolute;margin-left:-12.75pt;margin-top:63.15pt;width:19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="00AA6FFC">
        <w:rPr>
          <w:szCs w:val="36"/>
        </w:rPr>
        <w:t xml:space="preserve">Etf CONFERENCE 7-8 June 2018, sermig, Torino, “Shaping Level 5” </w:t>
      </w:r>
    </w:p>
    <w:p w14:paraId="60703264" w14:textId="23600D54" w:rsidR="004D58C2" w:rsidRPr="00775FBB" w:rsidRDefault="004D58C2">
      <w:pPr>
        <w:rPr>
          <w:b/>
          <w:sz w:val="28"/>
        </w:rPr>
      </w:pPr>
      <w:r w:rsidRPr="00775FBB">
        <w:rPr>
          <w:b/>
          <w:sz w:val="28"/>
        </w:rPr>
        <w:t xml:space="preserve">Workshop </w:t>
      </w:r>
      <w:r w:rsidR="00696BF8">
        <w:rPr>
          <w:b/>
          <w:sz w:val="28"/>
        </w:rPr>
        <w:t>3:</w:t>
      </w:r>
      <w:r w:rsidRPr="00775FBB">
        <w:rPr>
          <w:b/>
          <w:sz w:val="28"/>
        </w:rPr>
        <w:t xml:space="preserve"> </w:t>
      </w:r>
      <w:r w:rsidR="00696BF8">
        <w:rPr>
          <w:b/>
          <w:sz w:val="28"/>
        </w:rPr>
        <w:t xml:space="preserve">Occupational links </w:t>
      </w:r>
      <w:r w:rsidR="001766F7">
        <w:rPr>
          <w:b/>
          <w:sz w:val="28"/>
        </w:rPr>
        <w:t>and</w:t>
      </w:r>
      <w:r w:rsidR="00696BF8">
        <w:rPr>
          <w:b/>
          <w:sz w:val="28"/>
        </w:rPr>
        <w:t xml:space="preserve"> employability</w:t>
      </w:r>
      <w:r w:rsidR="001766F7">
        <w:rPr>
          <w:b/>
          <w:sz w:val="28"/>
        </w:rPr>
        <w:t xml:space="preserve"> of level 5 qualifications</w:t>
      </w:r>
      <w:r w:rsidR="00696BF8">
        <w:rPr>
          <w:b/>
          <w:sz w:val="28"/>
        </w:rPr>
        <w:t xml:space="preserve"> </w:t>
      </w:r>
    </w:p>
    <w:p w14:paraId="5A3B5D9F" w14:textId="77777777" w:rsidR="00CF263E" w:rsidRDefault="00CF263E" w:rsidP="00484887">
      <w:pPr>
        <w:spacing w:after="0"/>
        <w:rPr>
          <w:lang w:val="nl-NL"/>
        </w:rPr>
      </w:pPr>
      <w:r w:rsidRPr="00CF263E">
        <w:rPr>
          <w:lang w:val="nl-NL"/>
        </w:rPr>
        <w:t>Facilitator: Mirjam de Jong (ETF)</w:t>
      </w:r>
    </w:p>
    <w:p w14:paraId="0F807D87" w14:textId="77777777" w:rsidR="00DD126D" w:rsidRDefault="00DD126D" w:rsidP="00484887">
      <w:pPr>
        <w:spacing w:after="0"/>
        <w:rPr>
          <w:lang w:val="nl-NL"/>
        </w:rPr>
      </w:pPr>
      <w:r>
        <w:rPr>
          <w:lang w:val="nl-NL"/>
        </w:rPr>
        <w:t>Speakers:</w:t>
      </w:r>
    </w:p>
    <w:p w14:paraId="18EED815" w14:textId="50AB4CE4" w:rsidR="00DD126D" w:rsidRDefault="00DD126D" w:rsidP="0063118E">
      <w:pPr>
        <w:pStyle w:val="ListParagraph"/>
        <w:numPr>
          <w:ilvl w:val="0"/>
          <w:numId w:val="8"/>
        </w:numPr>
        <w:spacing w:after="0"/>
        <w:rPr>
          <w:lang w:val="nl-NL"/>
        </w:rPr>
      </w:pPr>
      <w:r w:rsidRPr="00DD126D">
        <w:rPr>
          <w:lang w:val="nl-NL"/>
        </w:rPr>
        <w:t>Jan van der Kolk, Senior Advi</w:t>
      </w:r>
      <w:r w:rsidR="00DE7193">
        <w:rPr>
          <w:lang w:val="nl-NL"/>
        </w:rPr>
        <w:t>sor</w:t>
      </w:r>
      <w:r w:rsidRPr="00DD126D">
        <w:rPr>
          <w:lang w:val="nl-NL"/>
        </w:rPr>
        <w:t xml:space="preserve">, Rotterdam University of Applied Sciences </w:t>
      </w:r>
    </w:p>
    <w:p w14:paraId="170F19F5" w14:textId="7A86CA30" w:rsidR="00DD126D" w:rsidRPr="00DD126D" w:rsidRDefault="00DD126D" w:rsidP="0063118E">
      <w:pPr>
        <w:pStyle w:val="ListParagraph"/>
        <w:numPr>
          <w:ilvl w:val="0"/>
          <w:numId w:val="8"/>
        </w:numPr>
        <w:spacing w:after="0"/>
        <w:rPr>
          <w:lang w:val="nl-NL"/>
        </w:rPr>
      </w:pPr>
      <w:r>
        <w:rPr>
          <w:lang w:val="nl-NL"/>
        </w:rPr>
        <w:t xml:space="preserve">Rute Ferraz, European Welding Federation </w:t>
      </w:r>
    </w:p>
    <w:p w14:paraId="22F44179" w14:textId="77777777" w:rsidR="00DD126D" w:rsidRPr="00CF263E" w:rsidRDefault="00DD126D" w:rsidP="00484887">
      <w:pPr>
        <w:spacing w:after="0"/>
        <w:rPr>
          <w:lang w:val="nl-NL"/>
        </w:rPr>
      </w:pPr>
    </w:p>
    <w:p w14:paraId="0FDBC477" w14:textId="3756D36A" w:rsidR="00CF263E" w:rsidRPr="00CF263E" w:rsidRDefault="00CF263E" w:rsidP="00484887">
      <w:pPr>
        <w:spacing w:after="0"/>
      </w:pPr>
      <w:r w:rsidRPr="00CF263E">
        <w:t xml:space="preserve">Rapporteur: </w:t>
      </w:r>
      <w:r w:rsidR="00DD126D">
        <w:t xml:space="preserve"> </w:t>
      </w:r>
      <w:r w:rsidR="005D15F1">
        <w:t>Filippo Del Ninno, ETF</w:t>
      </w:r>
      <w:bookmarkStart w:id="0" w:name="_GoBack"/>
      <w:bookmarkEnd w:id="0"/>
    </w:p>
    <w:p w14:paraId="6E84C858" w14:textId="77777777" w:rsidR="00CF263E" w:rsidRPr="00CF263E" w:rsidRDefault="00CF263E" w:rsidP="00484887">
      <w:pPr>
        <w:spacing w:after="0"/>
      </w:pPr>
    </w:p>
    <w:p w14:paraId="2E081FB1" w14:textId="7D0CC8EB" w:rsidR="001766F7" w:rsidRDefault="001766F7" w:rsidP="00484887">
      <w:pPr>
        <w:spacing w:after="0"/>
      </w:pPr>
      <w:r>
        <w:rPr>
          <w:b/>
        </w:rPr>
        <w:t>Objective</w:t>
      </w:r>
      <w:r w:rsidR="004B68D1">
        <w:t xml:space="preserve"> </w:t>
      </w:r>
    </w:p>
    <w:p w14:paraId="20DB3741" w14:textId="08B49AC0" w:rsidR="001766F7" w:rsidRPr="001766F7" w:rsidRDefault="001766F7" w:rsidP="00484887">
      <w:pPr>
        <w:spacing w:after="0"/>
        <w:rPr>
          <w:b/>
        </w:rPr>
      </w:pPr>
      <w:r>
        <w:t>The workshop supports participants of ETF Partner Countries to reflect on the strengths and weaknesses of level 5 qualifications in their country from the viewpoint of occupational links and employability.</w:t>
      </w:r>
    </w:p>
    <w:p w14:paraId="12940C11" w14:textId="77777777" w:rsidR="001766F7" w:rsidRDefault="001766F7"/>
    <w:p w14:paraId="02C5828A" w14:textId="0C078D02" w:rsidR="00790B6E" w:rsidRDefault="00484887" w:rsidP="00484887">
      <w:pPr>
        <w:spacing w:after="0"/>
        <w:rPr>
          <w:b/>
        </w:rPr>
      </w:pPr>
      <w:r>
        <w:rPr>
          <w:b/>
        </w:rPr>
        <w:t>Content</w:t>
      </w:r>
    </w:p>
    <w:p w14:paraId="0C391764" w14:textId="65C3BA10" w:rsidR="00A34E3D" w:rsidRDefault="0068129D" w:rsidP="00484887">
      <w:pPr>
        <w:spacing w:after="0"/>
      </w:pPr>
      <w:r>
        <w:t>In many countries l</w:t>
      </w:r>
      <w:r w:rsidRPr="0068129D">
        <w:t xml:space="preserve">evel 5 </w:t>
      </w:r>
      <w:r>
        <w:t>qualifications are</w:t>
      </w:r>
      <w:r w:rsidRPr="0068129D">
        <w:t xml:space="preserve"> seen as a new type of qualification</w:t>
      </w:r>
      <w:r w:rsidR="00A34E3D">
        <w:t>s</w:t>
      </w:r>
      <w:r w:rsidRPr="0068129D">
        <w:t xml:space="preserve"> that ha</w:t>
      </w:r>
      <w:r w:rsidR="00A34E3D">
        <w:t>ve</w:t>
      </w:r>
      <w:r w:rsidRPr="0068129D">
        <w:t xml:space="preserve"> potential because</w:t>
      </w:r>
      <w:r w:rsidR="00A34E3D">
        <w:t>:</w:t>
      </w:r>
    </w:p>
    <w:p w14:paraId="6B889D59" w14:textId="1F901114" w:rsidR="00A34E3D" w:rsidRDefault="00A34E3D" w:rsidP="00484887">
      <w:pPr>
        <w:pStyle w:val="ListParagraph"/>
        <w:numPr>
          <w:ilvl w:val="0"/>
          <w:numId w:val="3"/>
        </w:numPr>
        <w:spacing w:after="0"/>
      </w:pPr>
      <w:r>
        <w:lastRenderedPageBreak/>
        <w:t>they</w:t>
      </w:r>
      <w:r w:rsidRPr="0068129D">
        <w:t xml:space="preserve"> </w:t>
      </w:r>
      <w:r w:rsidR="0068129D" w:rsidRPr="0068129D">
        <w:t>offer higher</w:t>
      </w:r>
      <w:r w:rsidR="001E6378">
        <w:t>-</w:t>
      </w:r>
      <w:r w:rsidR="0068129D" w:rsidRPr="0068129D">
        <w:t xml:space="preserve"> level vocational programs</w:t>
      </w:r>
      <w:r>
        <w:t xml:space="preserve"> that </w:t>
      </w:r>
      <w:r w:rsidRPr="0068129D">
        <w:t>are</w:t>
      </w:r>
    </w:p>
    <w:p w14:paraId="2B700C29" w14:textId="0266C138" w:rsidR="00A34E3D" w:rsidRDefault="00392CE6" w:rsidP="00484887">
      <w:pPr>
        <w:pStyle w:val="ListParagraph"/>
        <w:numPr>
          <w:ilvl w:val="0"/>
          <w:numId w:val="3"/>
        </w:numPr>
        <w:spacing w:after="0"/>
      </w:pPr>
      <w:r>
        <w:t xml:space="preserve">they are </w:t>
      </w:r>
      <w:r w:rsidR="0068129D" w:rsidRPr="0068129D">
        <w:t>practice oriented</w:t>
      </w:r>
      <w:r w:rsidR="0068129D">
        <w:t xml:space="preserve"> </w:t>
      </w:r>
    </w:p>
    <w:p w14:paraId="45172A8D" w14:textId="2017CE7F" w:rsidR="0068129D" w:rsidRDefault="00A34E3D" w:rsidP="009800E0">
      <w:pPr>
        <w:pStyle w:val="ListParagraph"/>
        <w:numPr>
          <w:ilvl w:val="0"/>
          <w:numId w:val="3"/>
        </w:numPr>
        <w:spacing w:after="0"/>
      </w:pPr>
      <w:r>
        <w:t>they have good employment perspectives because of</w:t>
      </w:r>
      <w:r w:rsidR="00392CE6">
        <w:t xml:space="preserve"> </w:t>
      </w:r>
      <w:r w:rsidR="00024BBB">
        <w:t xml:space="preserve">close </w:t>
      </w:r>
      <w:r w:rsidR="0068129D" w:rsidRPr="0068129D">
        <w:t>connection</w:t>
      </w:r>
      <w:r w:rsidR="0068129D">
        <w:t>s</w:t>
      </w:r>
      <w:r w:rsidR="0068129D" w:rsidRPr="0068129D">
        <w:t xml:space="preserve"> with </w:t>
      </w:r>
      <w:r w:rsidR="00024BBB">
        <w:t xml:space="preserve">the </w:t>
      </w:r>
      <w:r w:rsidR="0068129D" w:rsidRPr="0068129D">
        <w:t>labour market.</w:t>
      </w:r>
      <w:r w:rsidR="0068129D">
        <w:t xml:space="preserve"> </w:t>
      </w:r>
    </w:p>
    <w:p w14:paraId="5B30725F" w14:textId="18B94E7C" w:rsidR="0068129D" w:rsidRDefault="0068129D">
      <w:r>
        <w:t xml:space="preserve">In this </w:t>
      </w:r>
      <w:r w:rsidR="00B63AEA">
        <w:t>workshop,</w:t>
      </w:r>
      <w:r>
        <w:t xml:space="preserve"> we will look at the </w:t>
      </w:r>
      <w:r w:rsidR="00B63AEA">
        <w:t>occupational links and employability advantages of level 5 qualifications from the viewpoints of the providers and the employers.</w:t>
      </w:r>
    </w:p>
    <w:p w14:paraId="105EFDCA" w14:textId="77777777" w:rsidR="00622267" w:rsidRDefault="00B63AEA" w:rsidP="0063118E">
      <w:r>
        <w:t xml:space="preserve">We will start the workshop with </w:t>
      </w:r>
      <w:r w:rsidR="000E55F7">
        <w:t xml:space="preserve">presentations of </w:t>
      </w:r>
      <w:r>
        <w:t xml:space="preserve">two </w:t>
      </w:r>
      <w:r w:rsidR="000E55F7">
        <w:t xml:space="preserve">distinctive cases. </w:t>
      </w:r>
    </w:p>
    <w:p w14:paraId="6EAA51B9" w14:textId="3C1B97F5" w:rsidR="00C56BFC" w:rsidRPr="00622267" w:rsidRDefault="00B63AEA" w:rsidP="00622267">
      <w:pPr>
        <w:pStyle w:val="ListParagraph"/>
        <w:numPr>
          <w:ilvl w:val="0"/>
          <w:numId w:val="11"/>
        </w:numPr>
        <w:rPr>
          <w:b/>
        </w:rPr>
      </w:pPr>
      <w:r w:rsidRPr="00622267">
        <w:rPr>
          <w:b/>
        </w:rPr>
        <w:t>Rotterdam Academy</w:t>
      </w:r>
      <w:r w:rsidR="00622267" w:rsidRPr="00622267">
        <w:rPr>
          <w:b/>
        </w:rPr>
        <w:t>, the</w:t>
      </w:r>
      <w:r w:rsidR="00024BBB" w:rsidRPr="00622267">
        <w:rPr>
          <w:b/>
        </w:rPr>
        <w:t xml:space="preserve"> Netherlands </w:t>
      </w:r>
    </w:p>
    <w:p w14:paraId="44378330" w14:textId="3E3DDB5B" w:rsidR="00B63AEA" w:rsidRDefault="00C56BFC" w:rsidP="00622267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The Academy </w:t>
      </w:r>
      <w:r w:rsidR="00B63AEA">
        <w:rPr>
          <w:rFonts w:asciiTheme="minorHAnsi" w:hAnsiTheme="minorHAnsi" w:cstheme="minorBidi"/>
          <w:sz w:val="22"/>
          <w:szCs w:val="22"/>
          <w:lang w:eastAsia="en-US"/>
        </w:rPr>
        <w:t>offers 2-year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="00B63AEA">
        <w:rPr>
          <w:rFonts w:asciiTheme="minorHAnsi" w:hAnsiTheme="minorHAnsi" w:cstheme="minorBidi"/>
          <w:sz w:val="22"/>
          <w:szCs w:val="22"/>
          <w:lang w:eastAsia="en-US"/>
        </w:rPr>
        <w:t xml:space="preserve"> level 5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="00B63AEA">
        <w:rPr>
          <w:rFonts w:asciiTheme="minorHAnsi" w:hAnsiTheme="minorHAnsi" w:cstheme="minorBidi"/>
          <w:sz w:val="22"/>
          <w:szCs w:val="22"/>
          <w:lang w:eastAsia="en-US"/>
        </w:rPr>
        <w:t xml:space="preserve"> Associate Degree 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>programmes that have a practical approach</w:t>
      </w:r>
      <w:r w:rsidR="00B63AEA">
        <w:rPr>
          <w:rFonts w:asciiTheme="minorHAnsi" w:hAnsiTheme="minorHAnsi" w:cstheme="minorBidi"/>
          <w:sz w:val="22"/>
          <w:szCs w:val="22"/>
          <w:lang w:eastAsia="en-US"/>
        </w:rPr>
        <w:t>. The Rotterdam Academy is</w:t>
      </w:r>
      <w:r w:rsidR="00B63AEA" w:rsidRPr="00F67600">
        <w:rPr>
          <w:rFonts w:asciiTheme="minorHAnsi" w:hAnsiTheme="minorHAnsi" w:cstheme="minorBidi"/>
          <w:sz w:val="22"/>
          <w:szCs w:val="22"/>
          <w:lang w:eastAsia="en-US"/>
        </w:rPr>
        <w:t xml:space="preserve"> an independent institute under the governance of the Rotterdam University of Applied Sciences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 xml:space="preserve">. The Academy </w:t>
      </w:r>
      <w:r w:rsidR="00392CE6">
        <w:rPr>
          <w:rFonts w:asciiTheme="minorHAnsi" w:hAnsiTheme="minorHAnsi" w:cstheme="minorBidi"/>
          <w:sz w:val="22"/>
          <w:szCs w:val="22"/>
          <w:lang w:eastAsia="en-US"/>
        </w:rPr>
        <w:t xml:space="preserve">has 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>intensive</w:t>
      </w:r>
      <w:r w:rsidR="00B63AEA">
        <w:rPr>
          <w:rFonts w:asciiTheme="minorHAnsi" w:hAnsiTheme="minorHAnsi" w:cstheme="minorBidi"/>
          <w:sz w:val="22"/>
          <w:szCs w:val="22"/>
          <w:lang w:eastAsia="en-US"/>
        </w:rPr>
        <w:t xml:space="preserve"> cooperation with the two regional VET centres 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 xml:space="preserve">and with the business sector in the Rotterdam </w:t>
      </w:r>
      <w:r w:rsidR="00B63AEA">
        <w:rPr>
          <w:rFonts w:asciiTheme="minorHAnsi" w:hAnsiTheme="minorHAnsi" w:cstheme="minorBidi"/>
          <w:sz w:val="22"/>
          <w:szCs w:val="22"/>
          <w:lang w:eastAsia="en-US"/>
        </w:rPr>
        <w:t>area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 xml:space="preserve">, especially with </w:t>
      </w:r>
      <w:r w:rsidR="001E6378">
        <w:rPr>
          <w:rFonts w:asciiTheme="minorHAnsi" w:hAnsiTheme="minorHAnsi" w:cstheme="minorBidi"/>
          <w:sz w:val="22"/>
          <w:szCs w:val="22"/>
          <w:lang w:eastAsia="en-US"/>
        </w:rPr>
        <w:t xml:space="preserve">small and medium enterprises. </w:t>
      </w:r>
      <w:r w:rsidR="00B63AE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14:paraId="349CC07F" w14:textId="77777777" w:rsidR="007F09DB" w:rsidRDefault="007F09DB" w:rsidP="00622267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EDC2047" w14:textId="1D3B8D2D" w:rsidR="005319E6" w:rsidRDefault="00B63AEA" w:rsidP="00622267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Jan van der Kolk is </w:t>
      </w:r>
      <w:r w:rsidRPr="00B63AEA">
        <w:rPr>
          <w:rFonts w:asciiTheme="minorHAnsi" w:hAnsiTheme="minorHAnsi" w:cstheme="minorBidi"/>
          <w:sz w:val="22"/>
          <w:szCs w:val="22"/>
          <w:lang w:eastAsia="en-US"/>
        </w:rPr>
        <w:t>Senior Advisor</w:t>
      </w:r>
      <w:r w:rsidR="00392CE6"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Pr="00B63AEA">
        <w:rPr>
          <w:rFonts w:asciiTheme="minorHAnsi" w:hAnsiTheme="minorHAnsi" w:cstheme="minorBidi"/>
          <w:sz w:val="22"/>
          <w:szCs w:val="22"/>
          <w:lang w:eastAsia="en-US"/>
        </w:rPr>
        <w:t xml:space="preserve"> Education &amp; Quality Assurance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at the </w:t>
      </w:r>
      <w:r w:rsidRPr="00B63AEA">
        <w:rPr>
          <w:rFonts w:asciiTheme="minorHAnsi" w:hAnsiTheme="minorHAnsi" w:cstheme="minorBidi"/>
          <w:sz w:val="22"/>
          <w:szCs w:val="22"/>
          <w:lang w:eastAsia="en-US"/>
        </w:rPr>
        <w:t>Rotterdam University of Applied Sciences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  <w:r w:rsidR="002674DA">
        <w:rPr>
          <w:rFonts w:asciiTheme="minorHAnsi" w:hAnsiTheme="minorHAnsi" w:cstheme="minorBidi"/>
          <w:sz w:val="22"/>
          <w:szCs w:val="22"/>
          <w:lang w:eastAsia="en-US"/>
        </w:rPr>
        <w:t>Speaking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 xml:space="preserve"> about the Rotterdam </w:t>
      </w:r>
      <w:r w:rsidR="00392CE6">
        <w:rPr>
          <w:rFonts w:asciiTheme="minorHAnsi" w:hAnsiTheme="minorHAnsi" w:cstheme="minorBidi"/>
          <w:sz w:val="22"/>
          <w:szCs w:val="22"/>
          <w:lang w:eastAsia="en-US"/>
        </w:rPr>
        <w:t>Academy,</w:t>
      </w:r>
      <w:r w:rsidR="002674DA">
        <w:rPr>
          <w:rFonts w:asciiTheme="minorHAnsi" w:hAnsiTheme="minorHAnsi" w:cstheme="minorBidi"/>
          <w:sz w:val="22"/>
          <w:szCs w:val="22"/>
          <w:lang w:eastAsia="en-US"/>
        </w:rPr>
        <w:t xml:space="preserve"> he will address questions such as: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 xml:space="preserve"> why was </w:t>
      </w:r>
      <w:r w:rsidR="002674DA">
        <w:rPr>
          <w:rFonts w:asciiTheme="minorHAnsi" w:hAnsiTheme="minorHAnsi" w:cstheme="minorBidi"/>
          <w:sz w:val="22"/>
          <w:szCs w:val="22"/>
          <w:lang w:eastAsia="en-US"/>
        </w:rPr>
        <w:t xml:space="preserve">the Academy </w:t>
      </w:r>
      <w:r w:rsidR="00024BBB">
        <w:rPr>
          <w:rFonts w:asciiTheme="minorHAnsi" w:hAnsiTheme="minorHAnsi" w:cstheme="minorBidi"/>
          <w:sz w:val="22"/>
          <w:szCs w:val="22"/>
          <w:lang w:eastAsia="en-US"/>
        </w:rPr>
        <w:t>established as an independent part of the Rotterdam University of Applied Sciences</w:t>
      </w:r>
      <w:r w:rsidR="002674DA">
        <w:rPr>
          <w:rFonts w:asciiTheme="minorHAnsi" w:hAnsiTheme="minorHAnsi" w:cstheme="minorBidi"/>
          <w:sz w:val="22"/>
          <w:szCs w:val="22"/>
          <w:lang w:eastAsia="en-US"/>
        </w:rPr>
        <w:t>? Are the Associate Degree programmes of the Academy linked to specific occupations? What are main target groups for the Academy; does the Academy offer various pathways depending on the target group?</w:t>
      </w:r>
      <w:r w:rsidR="002674DA" w:rsidRPr="00B63AEA">
        <w:rPr>
          <w:rFonts w:asciiTheme="minorHAnsi" w:hAnsiTheme="minorHAnsi" w:cstheme="minorBidi"/>
          <w:sz w:val="22"/>
          <w:szCs w:val="22"/>
          <w:lang w:eastAsia="en-US"/>
        </w:rPr>
        <w:t> </w:t>
      </w:r>
      <w:r w:rsidR="002674DA">
        <w:rPr>
          <w:rFonts w:asciiTheme="minorHAnsi" w:hAnsiTheme="minorHAnsi" w:cstheme="minorBidi"/>
          <w:sz w:val="22"/>
          <w:szCs w:val="22"/>
          <w:lang w:eastAsia="en-US"/>
        </w:rPr>
        <w:t>What are the chan</w:t>
      </w:r>
      <w:r w:rsidR="005319E6">
        <w:rPr>
          <w:rFonts w:asciiTheme="minorHAnsi" w:hAnsiTheme="minorHAnsi" w:cstheme="minorBidi"/>
          <w:sz w:val="22"/>
          <w:szCs w:val="22"/>
          <w:lang w:eastAsia="en-US"/>
        </w:rPr>
        <w:t>c</w:t>
      </w:r>
      <w:r w:rsidR="002674DA">
        <w:rPr>
          <w:rFonts w:asciiTheme="minorHAnsi" w:hAnsiTheme="minorHAnsi" w:cstheme="minorBidi"/>
          <w:sz w:val="22"/>
          <w:szCs w:val="22"/>
          <w:lang w:eastAsia="en-US"/>
        </w:rPr>
        <w:t xml:space="preserve">es </w:t>
      </w:r>
      <w:r w:rsidR="005319E6">
        <w:rPr>
          <w:rFonts w:asciiTheme="minorHAnsi" w:hAnsiTheme="minorHAnsi" w:cstheme="minorBidi"/>
          <w:sz w:val="22"/>
          <w:szCs w:val="22"/>
          <w:lang w:eastAsia="en-US"/>
        </w:rPr>
        <w:t>at</w:t>
      </w:r>
      <w:r w:rsidR="002674DA">
        <w:rPr>
          <w:rFonts w:asciiTheme="minorHAnsi" w:hAnsiTheme="minorHAnsi" w:cstheme="minorBidi"/>
          <w:sz w:val="22"/>
          <w:szCs w:val="22"/>
          <w:lang w:eastAsia="en-US"/>
        </w:rPr>
        <w:t xml:space="preserve"> employment </w:t>
      </w:r>
      <w:r w:rsidR="005319E6">
        <w:rPr>
          <w:rFonts w:asciiTheme="minorHAnsi" w:hAnsiTheme="minorHAnsi" w:cstheme="minorBidi"/>
          <w:sz w:val="22"/>
          <w:szCs w:val="22"/>
          <w:lang w:eastAsia="en-US"/>
        </w:rPr>
        <w:t xml:space="preserve">for </w:t>
      </w:r>
      <w:r w:rsidR="002674DA">
        <w:rPr>
          <w:rFonts w:asciiTheme="minorHAnsi" w:hAnsiTheme="minorHAnsi" w:cstheme="minorBidi"/>
          <w:sz w:val="22"/>
          <w:szCs w:val="22"/>
          <w:lang w:eastAsia="en-US"/>
        </w:rPr>
        <w:t>graduates?</w:t>
      </w:r>
      <w:r w:rsidR="005319E6">
        <w:rPr>
          <w:rFonts w:asciiTheme="minorHAnsi" w:hAnsiTheme="minorHAnsi" w:cstheme="minorBidi"/>
          <w:sz w:val="22"/>
          <w:szCs w:val="22"/>
          <w:lang w:eastAsia="en-US"/>
        </w:rPr>
        <w:t xml:space="preserve"> What are main success factors? What are challenges and obstacles?</w:t>
      </w:r>
    </w:p>
    <w:p w14:paraId="4E06DDA5" w14:textId="77777777" w:rsidR="005319E6" w:rsidRDefault="005319E6" w:rsidP="005319E6">
      <w:pPr>
        <w:pStyle w:val="NormalWeb"/>
        <w:ind w:left="720"/>
        <w:rPr>
          <w:rFonts w:asciiTheme="minorHAnsi" w:hAnsiTheme="minorHAnsi" w:cstheme="minorBidi"/>
          <w:sz w:val="22"/>
          <w:szCs w:val="22"/>
          <w:lang w:eastAsia="en-US"/>
        </w:rPr>
      </w:pPr>
    </w:p>
    <w:p w14:paraId="4D6C9E0F" w14:textId="03342D2B" w:rsidR="00C56BFC" w:rsidRDefault="00B63AEA" w:rsidP="00622267">
      <w:pPr>
        <w:pStyle w:val="NormalWeb"/>
        <w:numPr>
          <w:ilvl w:val="0"/>
          <w:numId w:val="11"/>
        </w:numPr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63118E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The European Welding Federation </w:t>
      </w:r>
    </w:p>
    <w:p w14:paraId="10A3AEA6" w14:textId="77777777" w:rsidR="00392CE6" w:rsidRPr="0063118E" w:rsidRDefault="00392CE6" w:rsidP="00392CE6">
      <w:pPr>
        <w:pStyle w:val="NormalWeb"/>
        <w:ind w:left="720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0505468D" w14:textId="08130442" w:rsidR="00B63AEA" w:rsidRDefault="00C56BFC" w:rsidP="00622267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  <w:r w:rsidRPr="0063118E">
        <w:rPr>
          <w:rFonts w:asciiTheme="minorHAnsi" w:hAnsiTheme="minorHAnsi" w:cstheme="minorBidi"/>
          <w:sz w:val="22"/>
          <w:szCs w:val="22"/>
          <w:lang w:eastAsia="en-US"/>
        </w:rPr>
        <w:lastRenderedPageBreak/>
        <w:t>The EWF</w:t>
      </w:r>
      <w:r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 </w:t>
      </w:r>
      <w:r w:rsidR="0035690B">
        <w:rPr>
          <w:rFonts w:asciiTheme="minorHAnsi" w:hAnsiTheme="minorHAnsi" w:cstheme="minorBidi"/>
          <w:sz w:val="22"/>
          <w:szCs w:val="22"/>
          <w:lang w:eastAsia="en-US"/>
        </w:rPr>
        <w:t>manages the international system for education, training, qualification and certification of welding personnel in Europe. EWF has 28 European member countries represented by their national welding associations.</w:t>
      </w:r>
      <w:r w:rsidR="0035690B" w:rsidRPr="0035690B">
        <w:rPr>
          <w:rFonts w:ascii="Arial" w:eastAsia="Times New Roman" w:hAnsi="Arial" w:cs="Arial"/>
          <w:color w:val="666666"/>
          <w:sz w:val="25"/>
          <w:szCs w:val="25"/>
        </w:rPr>
        <w:t xml:space="preserve"> </w:t>
      </w:r>
      <w:r w:rsidR="0035690B" w:rsidRPr="0035690B">
        <w:rPr>
          <w:rFonts w:asciiTheme="minorHAnsi" w:hAnsiTheme="minorHAnsi" w:cstheme="minorBidi"/>
          <w:sz w:val="22"/>
          <w:szCs w:val="22"/>
          <w:lang w:eastAsia="en-US"/>
        </w:rPr>
        <w:t>EWF and its member organizations have developed an international harmonised system for education, training and qualification in the field of welding technology</w:t>
      </w:r>
      <w:r w:rsidR="0035690B">
        <w:rPr>
          <w:rFonts w:asciiTheme="minorHAnsi" w:hAnsiTheme="minorHAnsi" w:cstheme="minorBidi"/>
          <w:sz w:val="22"/>
          <w:szCs w:val="22"/>
          <w:lang w:eastAsia="en-US"/>
        </w:rPr>
        <w:t xml:space="preserve"> that is offered in 45 countries worldwide and is recognised by </w:t>
      </w:r>
      <w:r w:rsidR="004B4108">
        <w:rPr>
          <w:rFonts w:asciiTheme="minorHAnsi" w:hAnsiTheme="minorHAnsi" w:cstheme="minorBidi"/>
          <w:sz w:val="22"/>
          <w:szCs w:val="22"/>
          <w:lang w:eastAsia="en-US"/>
        </w:rPr>
        <w:t xml:space="preserve">ISO and by the European Committee for standardization CEN. </w:t>
      </w:r>
      <w:r w:rsidR="00484887">
        <w:rPr>
          <w:rFonts w:asciiTheme="minorHAnsi" w:hAnsiTheme="minorHAnsi" w:cstheme="minorBidi"/>
          <w:sz w:val="22"/>
          <w:szCs w:val="22"/>
          <w:lang w:eastAsia="en-US"/>
        </w:rPr>
        <w:t xml:space="preserve">The EWF leads the RAINBOW project, an Erasmus + project that develops potential criteria and methodology to align </w:t>
      </w:r>
      <w:r w:rsidR="003A15F3">
        <w:rPr>
          <w:rFonts w:asciiTheme="minorHAnsi" w:hAnsiTheme="minorHAnsi" w:cstheme="minorBidi"/>
          <w:sz w:val="22"/>
          <w:szCs w:val="22"/>
          <w:lang w:eastAsia="en-US"/>
        </w:rPr>
        <w:t>the i</w:t>
      </w:r>
      <w:r w:rsidR="00484887">
        <w:rPr>
          <w:rFonts w:asciiTheme="minorHAnsi" w:hAnsiTheme="minorHAnsi" w:cstheme="minorBidi"/>
          <w:sz w:val="22"/>
          <w:szCs w:val="22"/>
          <w:lang w:eastAsia="en-US"/>
        </w:rPr>
        <w:t xml:space="preserve">nternational welding qualifications to the EQF </w:t>
      </w:r>
      <w:r w:rsidR="00BC051A">
        <w:rPr>
          <w:rFonts w:asciiTheme="minorHAnsi" w:hAnsiTheme="minorHAnsi" w:cstheme="minorBidi"/>
          <w:sz w:val="22"/>
          <w:szCs w:val="22"/>
          <w:lang w:eastAsia="en-US"/>
        </w:rPr>
        <w:t xml:space="preserve">(level 2-7 of the EQF) </w:t>
      </w:r>
      <w:r w:rsidR="00484887">
        <w:rPr>
          <w:rFonts w:asciiTheme="minorHAnsi" w:hAnsiTheme="minorHAnsi" w:cstheme="minorBidi"/>
          <w:sz w:val="22"/>
          <w:szCs w:val="22"/>
          <w:lang w:eastAsia="en-US"/>
        </w:rPr>
        <w:t>and</w:t>
      </w:r>
      <w:r w:rsidR="00BC051A">
        <w:rPr>
          <w:rFonts w:asciiTheme="minorHAnsi" w:hAnsiTheme="minorHAnsi" w:cstheme="minorBidi"/>
          <w:sz w:val="22"/>
          <w:szCs w:val="22"/>
          <w:lang w:eastAsia="en-US"/>
        </w:rPr>
        <w:t xml:space="preserve"> to</w:t>
      </w:r>
      <w:r w:rsidR="00484887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BC051A">
        <w:rPr>
          <w:rFonts w:asciiTheme="minorHAnsi" w:hAnsiTheme="minorHAnsi" w:cstheme="minorBidi"/>
          <w:sz w:val="22"/>
          <w:szCs w:val="22"/>
          <w:lang w:eastAsia="en-US"/>
        </w:rPr>
        <w:t>National Qualifications Frameworks.</w:t>
      </w:r>
    </w:p>
    <w:p w14:paraId="33686BC2" w14:textId="77777777" w:rsidR="001E6378" w:rsidRDefault="001E6378" w:rsidP="0063118E">
      <w:pPr>
        <w:pStyle w:val="NormalWeb"/>
        <w:ind w:left="720"/>
        <w:rPr>
          <w:rFonts w:asciiTheme="minorHAnsi" w:hAnsiTheme="minorHAnsi" w:cstheme="minorBidi"/>
          <w:sz w:val="22"/>
          <w:szCs w:val="22"/>
          <w:lang w:eastAsia="en-US"/>
        </w:rPr>
      </w:pPr>
    </w:p>
    <w:p w14:paraId="003047EA" w14:textId="6D9891C7" w:rsidR="00BC051A" w:rsidRDefault="00BC051A" w:rsidP="00622267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Ms. </w:t>
      </w:r>
      <w:r w:rsidRPr="00BC051A">
        <w:rPr>
          <w:rFonts w:asciiTheme="minorHAnsi" w:hAnsiTheme="minorHAnsi" w:cstheme="minorBidi"/>
          <w:sz w:val="22"/>
          <w:szCs w:val="22"/>
          <w:lang w:eastAsia="en-US"/>
        </w:rPr>
        <w:t>Rute Ferraz</w:t>
      </w:r>
      <w:r>
        <w:rPr>
          <w:rFonts w:asciiTheme="minorHAnsi" w:hAnsiTheme="minorHAnsi" w:cstheme="minorBidi"/>
          <w:sz w:val="22"/>
          <w:szCs w:val="22"/>
          <w:lang w:eastAsia="en-US"/>
        </w:rPr>
        <w:t>, Chief executive of the EWF</w:t>
      </w:r>
      <w:r w:rsidR="00392CE6">
        <w:rPr>
          <w:rFonts w:ascii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will speak</w:t>
      </w:r>
      <w:r w:rsidRPr="00BC051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eastAsia="en-US"/>
        </w:rPr>
        <w:t>about the international</w:t>
      </w:r>
      <w:r w:rsidR="001E6378">
        <w:rPr>
          <w:rFonts w:asciiTheme="minorHAnsi" w:hAnsiTheme="minorHAnsi" w:cstheme="minorBidi"/>
          <w:sz w:val="22"/>
          <w:szCs w:val="22"/>
          <w:lang w:eastAsia="en-US"/>
        </w:rPr>
        <w:t>ly-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harmonised system for education, training and qualification for welding technology</w:t>
      </w:r>
      <w:r w:rsidR="003A15F3">
        <w:rPr>
          <w:rFonts w:asciiTheme="minorHAnsi" w:hAnsiTheme="minorHAnsi" w:cstheme="minorBidi"/>
          <w:sz w:val="22"/>
          <w:szCs w:val="22"/>
          <w:lang w:eastAsia="en-US"/>
        </w:rPr>
        <w:t xml:space="preserve"> and the results of the RAINBOW projects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  <w:r w:rsidR="000E55F7">
        <w:rPr>
          <w:rFonts w:asciiTheme="minorHAnsi" w:hAnsiTheme="minorHAnsi" w:cstheme="minorBidi"/>
          <w:sz w:val="22"/>
          <w:szCs w:val="22"/>
          <w:lang w:eastAsia="en-US"/>
        </w:rPr>
        <w:t xml:space="preserve">Questions that </w:t>
      </w:r>
      <w:r w:rsidR="003A15F3">
        <w:rPr>
          <w:rFonts w:asciiTheme="minorHAnsi" w:hAnsiTheme="minorHAnsi" w:cstheme="minorBidi"/>
          <w:sz w:val="22"/>
          <w:szCs w:val="22"/>
          <w:lang w:eastAsia="en-US"/>
        </w:rPr>
        <w:t xml:space="preserve">Ms. Ferraz will address are: why should the practical </w:t>
      </w:r>
      <w:r w:rsidR="00392CE6">
        <w:rPr>
          <w:rFonts w:asciiTheme="minorHAnsi" w:hAnsiTheme="minorHAnsi" w:cstheme="minorBidi"/>
          <w:sz w:val="22"/>
          <w:szCs w:val="22"/>
          <w:lang w:eastAsia="en-US"/>
        </w:rPr>
        <w:t>skills</w:t>
      </w:r>
      <w:r w:rsidR="003A15F3">
        <w:rPr>
          <w:rFonts w:asciiTheme="minorHAnsi" w:hAnsiTheme="minorHAnsi" w:cstheme="minorBidi"/>
          <w:sz w:val="22"/>
          <w:szCs w:val="22"/>
          <w:lang w:eastAsia="en-US"/>
        </w:rPr>
        <w:t xml:space="preserve">-based and highly specialised welding qualifications be aligned to NQFs and the EQF? </w:t>
      </w:r>
      <w:r w:rsidRPr="00BC051A">
        <w:rPr>
          <w:rFonts w:asciiTheme="minorHAnsi" w:hAnsiTheme="minorHAnsi" w:cstheme="minorBidi"/>
          <w:sz w:val="22"/>
          <w:szCs w:val="22"/>
          <w:lang w:eastAsia="en-US"/>
        </w:rPr>
        <w:t> </w:t>
      </w:r>
      <w:r w:rsidR="000E55F7">
        <w:rPr>
          <w:rFonts w:asciiTheme="minorHAnsi" w:hAnsiTheme="minorHAnsi" w:cstheme="minorBidi"/>
          <w:sz w:val="22"/>
          <w:szCs w:val="22"/>
          <w:lang w:eastAsia="en-US"/>
        </w:rPr>
        <w:t xml:space="preserve">What are advantages and what are challenges and obstacles? </w:t>
      </w:r>
      <w:r w:rsidR="00DD126D">
        <w:rPr>
          <w:rFonts w:asciiTheme="minorHAnsi" w:hAnsiTheme="minorHAnsi" w:cstheme="minorBidi"/>
          <w:sz w:val="22"/>
          <w:szCs w:val="22"/>
          <w:lang w:eastAsia="en-US"/>
        </w:rPr>
        <w:t xml:space="preserve">What </w:t>
      </w:r>
      <w:r w:rsidR="000E55F7">
        <w:rPr>
          <w:rFonts w:asciiTheme="minorHAnsi" w:hAnsiTheme="minorHAnsi" w:cstheme="minorBidi"/>
          <w:sz w:val="22"/>
          <w:szCs w:val="22"/>
          <w:lang w:eastAsia="en-US"/>
        </w:rPr>
        <w:t>lessons can be learnt from countries that have already aligned welding qualifications to their NQF?</w:t>
      </w:r>
    </w:p>
    <w:p w14:paraId="3148D870" w14:textId="77777777" w:rsidR="007F09DB" w:rsidRDefault="007F09DB" w:rsidP="00622267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2A4186D" w14:textId="7D0772A2" w:rsidR="007F09DB" w:rsidRPr="007F09DB" w:rsidRDefault="007F09DB" w:rsidP="00622267">
      <w:pPr>
        <w:pStyle w:val="NormalWeb"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7F09DB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Group discussions </w:t>
      </w:r>
    </w:p>
    <w:p w14:paraId="2A3C3BD9" w14:textId="77777777" w:rsidR="00BC051A" w:rsidRDefault="00BC051A" w:rsidP="00BC051A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276AECE2" w14:textId="5B6774D9" w:rsidR="00C36D4A" w:rsidRPr="00A70E08" w:rsidRDefault="00C36D4A" w:rsidP="00C36D4A">
      <w:pPr>
        <w:jc w:val="both"/>
      </w:pPr>
      <w:r w:rsidRPr="00C36D4A">
        <w:t xml:space="preserve">After the two presentations, participants split into two </w:t>
      </w:r>
      <w:r w:rsidR="00392CE6">
        <w:t xml:space="preserve">parallel </w:t>
      </w:r>
      <w:r w:rsidRPr="00C36D4A">
        <w:t xml:space="preserve">groups; </w:t>
      </w:r>
      <w:r>
        <w:t xml:space="preserve">Group One covers Topic One, Group Two covers Topic Two. </w:t>
      </w:r>
    </w:p>
    <w:p w14:paraId="6338E9E9" w14:textId="751BC95B" w:rsidR="005319E6" w:rsidRPr="00C36D4A" w:rsidRDefault="00622267" w:rsidP="005319E6">
      <w:pPr>
        <w:pStyle w:val="NormalWeb"/>
        <w:rPr>
          <w:rFonts w:asciiTheme="minorHAnsi" w:hAnsiTheme="minorHAnsi" w:cstheme="minorBidi"/>
          <w:sz w:val="22"/>
          <w:szCs w:val="22"/>
          <w:u w:val="single"/>
          <w:lang w:eastAsia="en-US"/>
        </w:rPr>
      </w:pPr>
      <w:r w:rsidRPr="00C36D4A">
        <w:rPr>
          <w:rFonts w:asciiTheme="minorHAnsi" w:hAnsiTheme="minorHAnsi" w:cstheme="minorBidi"/>
          <w:sz w:val="22"/>
          <w:szCs w:val="22"/>
          <w:u w:val="single"/>
          <w:lang w:eastAsia="en-US"/>
        </w:rPr>
        <w:t xml:space="preserve">Topic 1: </w:t>
      </w:r>
      <w:r w:rsidR="000E55F7" w:rsidRPr="00C36D4A">
        <w:rPr>
          <w:rFonts w:asciiTheme="minorHAnsi" w:hAnsiTheme="minorHAnsi" w:cstheme="minorBidi"/>
          <w:sz w:val="22"/>
          <w:szCs w:val="22"/>
          <w:u w:val="single"/>
          <w:lang w:eastAsia="en-US"/>
        </w:rPr>
        <w:t xml:space="preserve"> </w:t>
      </w:r>
      <w:r w:rsidR="003473F9" w:rsidRPr="00C36D4A">
        <w:rPr>
          <w:rFonts w:asciiTheme="minorHAnsi" w:hAnsiTheme="minorHAnsi" w:cstheme="minorBidi"/>
          <w:sz w:val="22"/>
          <w:szCs w:val="22"/>
          <w:u w:val="single"/>
          <w:lang w:eastAsia="en-US"/>
        </w:rPr>
        <w:t>Employability of graduates with level 5 qualifications</w:t>
      </w:r>
    </w:p>
    <w:p w14:paraId="21167B54" w14:textId="00F0F91F" w:rsidR="003473F9" w:rsidRDefault="00DD126D" w:rsidP="005319E6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Some </w:t>
      </w:r>
      <w:r w:rsidR="003473F9">
        <w:rPr>
          <w:rFonts w:asciiTheme="minorHAnsi" w:hAnsiTheme="minorHAnsi" w:cstheme="minorBidi"/>
          <w:sz w:val="22"/>
          <w:szCs w:val="22"/>
          <w:lang w:eastAsia="en-US"/>
        </w:rPr>
        <w:t>questions:</w:t>
      </w:r>
    </w:p>
    <w:p w14:paraId="3582C016" w14:textId="06FF2AA3" w:rsidR="003473F9" w:rsidRDefault="003473F9" w:rsidP="003473F9">
      <w:pPr>
        <w:pStyle w:val="NormalWeb"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In your country, have graduates with level 5 qualifications higher, lower or similar chances to </w:t>
      </w:r>
      <w:r w:rsidR="00392CE6">
        <w:rPr>
          <w:rFonts w:asciiTheme="minorHAnsi" w:hAnsiTheme="minorHAnsi" w:cstheme="minorBidi"/>
          <w:sz w:val="22"/>
          <w:szCs w:val="22"/>
          <w:lang w:eastAsia="en-US"/>
        </w:rPr>
        <w:t xml:space="preserve">find work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compared to graduates </w:t>
      </w:r>
      <w:r w:rsidR="00DF35F4">
        <w:rPr>
          <w:rFonts w:asciiTheme="minorHAnsi" w:hAnsiTheme="minorHAnsi" w:cstheme="minorBidi"/>
          <w:sz w:val="22"/>
          <w:szCs w:val="22"/>
          <w:lang w:eastAsia="en-US"/>
        </w:rPr>
        <w:t>with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eastAsia="en-US"/>
        </w:rPr>
        <w:lastRenderedPageBreak/>
        <w:t>bachelor and master degrees? And compared to graduates from level 4 VET qualifications?</w:t>
      </w:r>
    </w:p>
    <w:p w14:paraId="081F121B" w14:textId="7290BB03" w:rsidR="003473F9" w:rsidRDefault="00117152" w:rsidP="003473F9">
      <w:pPr>
        <w:pStyle w:val="NormalWeb"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What </w:t>
      </w:r>
      <w:r w:rsidR="003473F9">
        <w:rPr>
          <w:rFonts w:asciiTheme="minorHAnsi" w:hAnsiTheme="minorHAnsi" w:cstheme="minorBidi"/>
          <w:sz w:val="22"/>
          <w:szCs w:val="22"/>
          <w:lang w:eastAsia="en-US"/>
        </w:rPr>
        <w:t xml:space="preserve">factors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contribute to </w:t>
      </w:r>
      <w:r w:rsidR="003473F9">
        <w:rPr>
          <w:rFonts w:asciiTheme="minorHAnsi" w:hAnsiTheme="minorHAnsi" w:cstheme="minorBidi"/>
          <w:sz w:val="22"/>
          <w:szCs w:val="22"/>
          <w:lang w:eastAsia="en-US"/>
        </w:rPr>
        <w:t>level 5 qualifications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’ </w:t>
      </w:r>
      <w:r w:rsidR="003473F9">
        <w:rPr>
          <w:rFonts w:asciiTheme="minorHAnsi" w:hAnsiTheme="minorHAnsi" w:cstheme="minorBidi"/>
          <w:sz w:val="22"/>
          <w:szCs w:val="22"/>
          <w:lang w:eastAsia="en-US"/>
        </w:rPr>
        <w:t xml:space="preserve">employability value in your country? What are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their </w:t>
      </w:r>
      <w:r w:rsidR="003473F9">
        <w:rPr>
          <w:rFonts w:asciiTheme="minorHAnsi" w:hAnsiTheme="minorHAnsi" w:cstheme="minorBidi"/>
          <w:sz w:val="22"/>
          <w:szCs w:val="22"/>
          <w:lang w:eastAsia="en-US"/>
        </w:rPr>
        <w:t>success factors?</w:t>
      </w:r>
    </w:p>
    <w:p w14:paraId="1D2AD55B" w14:textId="2474F50C" w:rsidR="003473F9" w:rsidRDefault="00117152" w:rsidP="003473F9">
      <w:pPr>
        <w:pStyle w:val="NormalWeb"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What </w:t>
      </w:r>
      <w:r w:rsidR="006A3305">
        <w:rPr>
          <w:rFonts w:asciiTheme="minorHAnsi" w:hAnsiTheme="minorHAnsi" w:cstheme="minorBidi"/>
          <w:sz w:val="22"/>
          <w:szCs w:val="22"/>
          <w:lang w:eastAsia="en-US"/>
        </w:rPr>
        <w:t>factors hinder</w:t>
      </w:r>
      <w:r w:rsidR="003473F9">
        <w:rPr>
          <w:rFonts w:asciiTheme="minorHAnsi" w:hAnsiTheme="minorHAnsi" w:cstheme="minorBidi"/>
          <w:sz w:val="22"/>
          <w:szCs w:val="22"/>
          <w:lang w:eastAsia="en-US"/>
        </w:rPr>
        <w:t xml:space="preserve"> level 5 qualifications </w:t>
      </w:r>
      <w:r>
        <w:rPr>
          <w:rFonts w:asciiTheme="minorHAnsi" w:hAnsiTheme="minorHAnsi" w:cstheme="minorBidi"/>
          <w:sz w:val="22"/>
          <w:szCs w:val="22"/>
          <w:lang w:eastAsia="en-US"/>
        </w:rPr>
        <w:t>in offering</w:t>
      </w:r>
      <w:r w:rsidR="003473F9">
        <w:rPr>
          <w:rFonts w:asciiTheme="minorHAnsi" w:hAnsiTheme="minorHAnsi" w:cstheme="minorBidi"/>
          <w:sz w:val="22"/>
          <w:szCs w:val="22"/>
          <w:lang w:eastAsia="en-US"/>
        </w:rPr>
        <w:t xml:space="preserve"> employability value in your country? What are obstacles and challenges?</w:t>
      </w:r>
    </w:p>
    <w:p w14:paraId="50F1EACF" w14:textId="77777777" w:rsidR="00CF263E" w:rsidRDefault="00CF263E" w:rsidP="00CF263E">
      <w:pPr>
        <w:pStyle w:val="ListParagraph"/>
        <w:numPr>
          <w:ilvl w:val="0"/>
          <w:numId w:val="7"/>
        </w:numPr>
      </w:pPr>
      <w:r>
        <w:t>Could level 5 qualifications be a good alternative for more traditional tertiary education</w:t>
      </w:r>
    </w:p>
    <w:p w14:paraId="6675B7CD" w14:textId="7ACB8A07" w:rsidR="000E55F7" w:rsidRDefault="00CF263E" w:rsidP="00CF263E">
      <w:pPr>
        <w:pStyle w:val="ListParagraph"/>
      </w:pPr>
      <w:r>
        <w:t>Bachelor/Master degree programs, because they could offer more employment opportunities?</w:t>
      </w:r>
    </w:p>
    <w:p w14:paraId="53160F0F" w14:textId="77777777" w:rsidR="00622267" w:rsidRDefault="00622267" w:rsidP="00CF263E">
      <w:pPr>
        <w:pStyle w:val="ListParagraph"/>
      </w:pPr>
    </w:p>
    <w:p w14:paraId="109E1FD5" w14:textId="720F6156" w:rsidR="000E55F7" w:rsidRPr="00C36D4A" w:rsidRDefault="00622267" w:rsidP="005319E6">
      <w:pPr>
        <w:pStyle w:val="NormalWeb"/>
        <w:rPr>
          <w:rFonts w:asciiTheme="minorHAnsi" w:hAnsiTheme="minorHAnsi" w:cstheme="minorBidi"/>
          <w:sz w:val="22"/>
          <w:szCs w:val="22"/>
          <w:u w:val="single"/>
          <w:lang w:eastAsia="en-US"/>
        </w:rPr>
      </w:pPr>
      <w:r w:rsidRPr="00C36D4A">
        <w:rPr>
          <w:rFonts w:asciiTheme="minorHAnsi" w:hAnsiTheme="minorHAnsi" w:cstheme="minorBidi"/>
          <w:sz w:val="22"/>
          <w:szCs w:val="22"/>
          <w:u w:val="single"/>
          <w:lang w:eastAsia="en-US"/>
        </w:rPr>
        <w:t>Topic 2</w:t>
      </w:r>
      <w:r w:rsidR="000E55F7" w:rsidRPr="00C36D4A">
        <w:rPr>
          <w:rFonts w:asciiTheme="minorHAnsi" w:hAnsiTheme="minorHAnsi" w:cstheme="minorBidi"/>
          <w:sz w:val="22"/>
          <w:szCs w:val="22"/>
          <w:u w:val="single"/>
          <w:lang w:eastAsia="en-US"/>
        </w:rPr>
        <w:t>: International qualifications in EQF/NQFs</w:t>
      </w:r>
    </w:p>
    <w:p w14:paraId="6E1CCE84" w14:textId="553BCC5D" w:rsidR="000E55F7" w:rsidRDefault="00622267" w:rsidP="005319E6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Some </w:t>
      </w:r>
      <w:r w:rsidR="00E52404">
        <w:rPr>
          <w:rFonts w:asciiTheme="minorHAnsi" w:hAnsiTheme="minorHAnsi" w:cstheme="minorBidi"/>
          <w:sz w:val="22"/>
          <w:szCs w:val="22"/>
          <w:lang w:eastAsia="en-US"/>
        </w:rPr>
        <w:t>q</w:t>
      </w:r>
      <w:r w:rsidR="000E55F7">
        <w:rPr>
          <w:rFonts w:asciiTheme="minorHAnsi" w:hAnsiTheme="minorHAnsi" w:cstheme="minorBidi"/>
          <w:sz w:val="22"/>
          <w:szCs w:val="22"/>
          <w:lang w:eastAsia="en-US"/>
        </w:rPr>
        <w:t>uestions:</w:t>
      </w:r>
    </w:p>
    <w:p w14:paraId="3E877478" w14:textId="4C93564D" w:rsidR="000E55F7" w:rsidRDefault="00E52404" w:rsidP="000E55F7">
      <w:pPr>
        <w:pStyle w:val="NormalWeb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Are</w:t>
      </w:r>
      <w:r w:rsidR="000C58B7">
        <w:rPr>
          <w:rFonts w:asciiTheme="minorHAnsi" w:hAnsiTheme="minorHAnsi" w:cstheme="minorBidi"/>
          <w:sz w:val="22"/>
          <w:szCs w:val="22"/>
          <w:lang w:eastAsia="en-US"/>
        </w:rPr>
        <w:t xml:space="preserve"> international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qualifications </w:t>
      </w:r>
      <w:r w:rsidR="00117152">
        <w:rPr>
          <w:rFonts w:asciiTheme="minorHAnsi" w:hAnsiTheme="minorHAnsi" w:cstheme="minorBidi"/>
          <w:sz w:val="22"/>
          <w:szCs w:val="22"/>
          <w:lang w:eastAsia="en-US"/>
        </w:rPr>
        <w:t xml:space="preserve">such as </w:t>
      </w:r>
      <w:r w:rsidR="000C58B7">
        <w:rPr>
          <w:rFonts w:asciiTheme="minorHAnsi" w:hAnsiTheme="minorHAnsi" w:cstheme="minorBidi"/>
          <w:sz w:val="22"/>
          <w:szCs w:val="22"/>
          <w:lang w:eastAsia="en-US"/>
        </w:rPr>
        <w:t xml:space="preserve">the welding </w:t>
      </w:r>
      <w:r>
        <w:rPr>
          <w:rFonts w:asciiTheme="minorHAnsi" w:hAnsiTheme="minorHAnsi" w:cstheme="minorBidi"/>
          <w:sz w:val="22"/>
          <w:szCs w:val="22"/>
          <w:lang w:eastAsia="en-US"/>
        </w:rPr>
        <w:t>qualifications</w:t>
      </w:r>
      <w:r w:rsidR="000C58B7">
        <w:rPr>
          <w:rFonts w:asciiTheme="minorHAnsi" w:hAnsiTheme="minorHAnsi" w:cstheme="minorBidi"/>
          <w:sz w:val="22"/>
          <w:szCs w:val="22"/>
          <w:lang w:eastAsia="en-US"/>
        </w:rPr>
        <w:t xml:space="preserve"> in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(high) demand in </w:t>
      </w:r>
      <w:r w:rsidR="000C58B7">
        <w:rPr>
          <w:rFonts w:asciiTheme="minorHAnsi" w:hAnsiTheme="minorHAnsi" w:cstheme="minorBidi"/>
          <w:sz w:val="22"/>
          <w:szCs w:val="22"/>
          <w:lang w:eastAsia="en-US"/>
        </w:rPr>
        <w:t>your country?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For which occupations/fields? For which levels?</w:t>
      </w:r>
      <w:r w:rsidR="00117152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14:paraId="02FC98BD" w14:textId="3E8D4C3D" w:rsidR="00117152" w:rsidRDefault="00117152" w:rsidP="000E55F7">
      <w:pPr>
        <w:pStyle w:val="NormalWeb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What positions in the labour market can sectoral qualifications at Level 5 lead to?</w:t>
      </w:r>
    </w:p>
    <w:p w14:paraId="34F6305E" w14:textId="57720414" w:rsidR="000C58B7" w:rsidRDefault="000C58B7" w:rsidP="000E55F7">
      <w:pPr>
        <w:pStyle w:val="NormalWeb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Can international </w:t>
      </w:r>
      <w:r w:rsidR="00E52404">
        <w:rPr>
          <w:rFonts w:asciiTheme="minorHAnsi" w:hAnsiTheme="minorHAnsi" w:cstheme="minorBidi"/>
          <w:sz w:val="22"/>
          <w:szCs w:val="22"/>
          <w:lang w:eastAsia="en-US"/>
        </w:rPr>
        <w:t>qualifications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be included in the NQF in your country?</w:t>
      </w:r>
      <w:r w:rsidR="00E52404">
        <w:rPr>
          <w:rFonts w:asciiTheme="minorHAnsi" w:hAnsiTheme="minorHAnsi" w:cstheme="minorBidi"/>
          <w:sz w:val="22"/>
          <w:szCs w:val="22"/>
          <w:lang w:eastAsia="en-US"/>
        </w:rPr>
        <w:t xml:space="preserve"> Why/why not?</w:t>
      </w:r>
    </w:p>
    <w:p w14:paraId="551AFEA6" w14:textId="4F4C5356" w:rsidR="00E52404" w:rsidRDefault="00E52404" w:rsidP="000E55F7">
      <w:pPr>
        <w:pStyle w:val="NormalWeb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Should international qualifications be included in NQFs/EQF? Why? Why not?</w:t>
      </w:r>
    </w:p>
    <w:p w14:paraId="488A2DF4" w14:textId="77777777" w:rsidR="000E55F7" w:rsidRDefault="000E55F7" w:rsidP="005319E6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37E5F75A" w14:textId="66E22E70" w:rsidR="00CF263E" w:rsidRDefault="00CF263E" w:rsidP="005319E6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At the end of the workshop, we will formulate two questions for the panel discussion on day 2 of the conference.</w:t>
      </w:r>
    </w:p>
    <w:p w14:paraId="55B27AF9" w14:textId="77777777" w:rsidR="00DD126D" w:rsidRDefault="00DD126D" w:rsidP="005319E6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21C59974" w14:textId="77777777" w:rsidR="007F09DB" w:rsidRDefault="007F09DB" w:rsidP="00EE5150">
      <w:pPr>
        <w:pStyle w:val="NormalWeb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36A0ADC5" w14:textId="77777777" w:rsidR="00392CE6" w:rsidRDefault="00392CE6" w:rsidP="00EE5150">
      <w:pPr>
        <w:pStyle w:val="NormalWeb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4D373E8D" w14:textId="77777777" w:rsidR="00392CE6" w:rsidRDefault="00392CE6" w:rsidP="00EE5150">
      <w:pPr>
        <w:pStyle w:val="NormalWeb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0060F1C8" w14:textId="77777777" w:rsidR="00EE5150" w:rsidRPr="00622267" w:rsidRDefault="00EE5150" w:rsidP="00EE5150">
      <w:pPr>
        <w:pStyle w:val="NormalWeb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622267">
        <w:rPr>
          <w:rFonts w:asciiTheme="minorHAnsi" w:hAnsiTheme="minorHAnsi" w:cstheme="minorBidi"/>
          <w:b/>
          <w:sz w:val="22"/>
          <w:szCs w:val="22"/>
          <w:lang w:eastAsia="en-US"/>
        </w:rPr>
        <w:lastRenderedPageBreak/>
        <w:t>Structure</w:t>
      </w:r>
    </w:p>
    <w:p w14:paraId="22282534" w14:textId="77777777" w:rsidR="00EE5150" w:rsidRPr="00A70E08" w:rsidRDefault="00EE5150" w:rsidP="00EE5150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928016C" w14:textId="77777777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Introduction: 5 minutes, ETF</w:t>
      </w:r>
    </w:p>
    <w:p w14:paraId="0ECB8A0B" w14:textId="483F537C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Presentation by </w:t>
      </w:r>
      <w:r w:rsidR="00CD1F19">
        <w:rPr>
          <w:rFonts w:asciiTheme="minorHAnsi" w:hAnsiTheme="minorHAnsi" w:cstheme="minorBidi"/>
          <w:sz w:val="22"/>
          <w:szCs w:val="22"/>
          <w:lang w:eastAsia="en-US"/>
        </w:rPr>
        <w:t>Mr van der Kolk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20 minutes</w:t>
      </w:r>
    </w:p>
    <w:p w14:paraId="317B7A93" w14:textId="3FEC064B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Presentation by </w:t>
      </w:r>
      <w:r w:rsidR="00CD1F19">
        <w:rPr>
          <w:rFonts w:asciiTheme="minorHAnsi" w:hAnsiTheme="minorHAnsi" w:cstheme="minorBidi"/>
          <w:sz w:val="22"/>
          <w:szCs w:val="22"/>
          <w:lang w:eastAsia="en-US"/>
        </w:rPr>
        <w:t>Ms Ferraz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, 20 minutes  </w:t>
      </w:r>
    </w:p>
    <w:p w14:paraId="691A242E" w14:textId="77777777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Discussions – in 2 groups, in parallel, 25 minutes</w:t>
      </w:r>
    </w:p>
    <w:p w14:paraId="592F7526" w14:textId="008753DB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EE5150">
        <w:rPr>
          <w:rFonts w:asciiTheme="minorHAnsi" w:hAnsiTheme="minorHAnsi" w:cstheme="minorBidi"/>
          <w:sz w:val="22"/>
          <w:szCs w:val="22"/>
          <w:lang w:eastAsia="en-US"/>
        </w:rPr>
        <w:t xml:space="preserve">Plenary: </w:t>
      </w:r>
      <w:r>
        <w:rPr>
          <w:rFonts w:asciiTheme="minorHAnsi" w:hAnsiTheme="minorHAnsi" w:cstheme="minorBidi"/>
          <w:sz w:val="22"/>
          <w:szCs w:val="22"/>
          <w:lang w:eastAsia="en-US"/>
        </w:rPr>
        <w:t>summary by table and conclusions, including questions for panel on Day Two, 20 minutes</w:t>
      </w:r>
    </w:p>
    <w:p w14:paraId="0CAE194F" w14:textId="77777777" w:rsidR="00EE5150" w:rsidRPr="00A70E08" w:rsidRDefault="00EE5150" w:rsidP="00EE5150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C6D444D" w14:textId="77777777" w:rsidR="00CF263E" w:rsidRPr="0063118E" w:rsidRDefault="00CF263E" w:rsidP="0063118E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CF263E" w:rsidRPr="00631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FF8"/>
    <w:multiLevelType w:val="hybridMultilevel"/>
    <w:tmpl w:val="CF52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4B2"/>
    <w:multiLevelType w:val="hybridMultilevel"/>
    <w:tmpl w:val="B94E7BF0"/>
    <w:lvl w:ilvl="0" w:tplc="6C068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06AB0"/>
    <w:multiLevelType w:val="hybridMultilevel"/>
    <w:tmpl w:val="7130B9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3969CE"/>
    <w:multiLevelType w:val="hybridMultilevel"/>
    <w:tmpl w:val="01626C98"/>
    <w:lvl w:ilvl="0" w:tplc="AEC44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B59"/>
    <w:multiLevelType w:val="hybridMultilevel"/>
    <w:tmpl w:val="AC5A68CE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A62EB"/>
    <w:multiLevelType w:val="hybridMultilevel"/>
    <w:tmpl w:val="8E32B7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B4A70"/>
    <w:multiLevelType w:val="hybridMultilevel"/>
    <w:tmpl w:val="D10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D40F4"/>
    <w:multiLevelType w:val="hybridMultilevel"/>
    <w:tmpl w:val="F0E083AC"/>
    <w:lvl w:ilvl="0" w:tplc="3E5825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D2F2C"/>
    <w:multiLevelType w:val="hybridMultilevel"/>
    <w:tmpl w:val="4EEE76EA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310B8"/>
    <w:multiLevelType w:val="hybridMultilevel"/>
    <w:tmpl w:val="427A9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FB3307"/>
    <w:multiLevelType w:val="hybridMultilevel"/>
    <w:tmpl w:val="956AA5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C2"/>
    <w:rsid w:val="00024BBB"/>
    <w:rsid w:val="00050E3A"/>
    <w:rsid w:val="000C5079"/>
    <w:rsid w:val="000C58B7"/>
    <w:rsid w:val="000E55F7"/>
    <w:rsid w:val="00117152"/>
    <w:rsid w:val="001766F7"/>
    <w:rsid w:val="0019751E"/>
    <w:rsid w:val="001A457F"/>
    <w:rsid w:val="001E6378"/>
    <w:rsid w:val="002674DA"/>
    <w:rsid w:val="002A3F09"/>
    <w:rsid w:val="003473F9"/>
    <w:rsid w:val="0035690B"/>
    <w:rsid w:val="00392901"/>
    <w:rsid w:val="00392CE6"/>
    <w:rsid w:val="003A15F3"/>
    <w:rsid w:val="00484887"/>
    <w:rsid w:val="004B4108"/>
    <w:rsid w:val="004B68D1"/>
    <w:rsid w:val="004C6269"/>
    <w:rsid w:val="004D58C2"/>
    <w:rsid w:val="005319E6"/>
    <w:rsid w:val="005455F4"/>
    <w:rsid w:val="00572919"/>
    <w:rsid w:val="005D15F1"/>
    <w:rsid w:val="005E2953"/>
    <w:rsid w:val="006173C6"/>
    <w:rsid w:val="00622267"/>
    <w:rsid w:val="0063118E"/>
    <w:rsid w:val="0068129D"/>
    <w:rsid w:val="00696BF8"/>
    <w:rsid w:val="006A3305"/>
    <w:rsid w:val="006F7313"/>
    <w:rsid w:val="006F754C"/>
    <w:rsid w:val="00711331"/>
    <w:rsid w:val="007224EC"/>
    <w:rsid w:val="00775FBB"/>
    <w:rsid w:val="00790B6E"/>
    <w:rsid w:val="007F09DB"/>
    <w:rsid w:val="00877B2C"/>
    <w:rsid w:val="00903BA6"/>
    <w:rsid w:val="00945784"/>
    <w:rsid w:val="00997154"/>
    <w:rsid w:val="00A03FE8"/>
    <w:rsid w:val="00A05F19"/>
    <w:rsid w:val="00A34E3D"/>
    <w:rsid w:val="00AA537E"/>
    <w:rsid w:val="00AA6FFC"/>
    <w:rsid w:val="00AD5D09"/>
    <w:rsid w:val="00B63AEA"/>
    <w:rsid w:val="00BA007D"/>
    <w:rsid w:val="00BC051A"/>
    <w:rsid w:val="00C33BBB"/>
    <w:rsid w:val="00C36D4A"/>
    <w:rsid w:val="00C56BFC"/>
    <w:rsid w:val="00C7587D"/>
    <w:rsid w:val="00CD1F19"/>
    <w:rsid w:val="00CF263E"/>
    <w:rsid w:val="00DB44D5"/>
    <w:rsid w:val="00DD126D"/>
    <w:rsid w:val="00DE7193"/>
    <w:rsid w:val="00DF35F4"/>
    <w:rsid w:val="00DF67A3"/>
    <w:rsid w:val="00E45F14"/>
    <w:rsid w:val="00E52404"/>
    <w:rsid w:val="00EE5150"/>
    <w:rsid w:val="00F67600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61FD"/>
  <w15:chartTrackingRefBased/>
  <w15:docId w15:val="{8FAE88F3-A710-4968-B64F-84DDA39E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1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6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760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929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19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19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19E6"/>
    <w:rPr>
      <w:b/>
      <w:bCs/>
    </w:rPr>
  </w:style>
  <w:style w:type="character" w:customStyle="1" w:styleId="gctitulo">
    <w:name w:val="gctitulo"/>
    <w:basedOn w:val="DefaultParagraphFont"/>
    <w:rsid w:val="005319E6"/>
  </w:style>
  <w:style w:type="paragraph" w:customStyle="1" w:styleId="Covertitle">
    <w:name w:val="Covertitle"/>
    <w:basedOn w:val="Normal"/>
    <w:rsid w:val="00AA6FFC"/>
    <w:pPr>
      <w:spacing w:before="600" w:after="240" w:line="240" w:lineRule="auto"/>
    </w:pPr>
    <w:rPr>
      <w:rFonts w:ascii="Arial" w:eastAsia="Times New Roman" w:hAnsi="Arial" w:cs="Times New Roman"/>
      <w:b/>
      <w:bCs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187c557672fdb29590166087a36acddb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e4c9166474693185885494972017cf77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8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ETFLanguage xmlns="bc3c4bbb-6da8-4c98-8c13-a85c6b75e98e">English</ETFLanguage>
    <PA_QUAL xmlns="df6b2545-d15d-4d63-86ca-644416e434f8">88</PA_QUAL>
    <Regions xmlns="df6b2545-d15d-4d63-86ca-644416e434f8">
      <Value>Not Applicable</Value>
    </Regions>
    <Origin xmlns="bc3c4bbb-6da8-4c98-8c13-a85c6b75e98e" xsi:nil="true"/>
    <Qualifications_x0020_Keywords xmlns="bc3c4bbb-6da8-4c98-8c13-a85c6b75e98e"/>
    <Status xmlns="bc3c4bbb-6da8-4c98-8c13-a85c6b75e98e" xsi:nil="true"/>
    <ReferenceYear xmlns="bc3c4bbb-6da8-4c98-8c13-a85c6b75e98e">2018</ReferenceYear>
    <General_x0020_Keywords xmlns="df6b2545-d15d-4d63-86ca-644416e434f8"/>
    <OperationsSubArea xmlns="bc3c4bbb-6da8-4c98-8c13-a85c6b75e98e">Qualifications and qualification system</OperationsSubArea>
    <_dlc_DocId xmlns="df6b2545-d15d-4d63-86ca-644416e434f8">ETFDMS-2034704231-1942</_dlc_DocId>
    <_dlc_DocIdUrl xmlns="df6b2545-d15d-4d63-86ca-644416e434f8">
      <Url>https://sharing.etf.europa.eu/sites/dms/ops/qualf/_layouts/15/DocIdRedir.aspx?ID=ETFDMS-2034704231-1942</Url>
      <Description>ETFDMS-2034704231-1942</Description>
    </_dlc_DocIdUrl>
    <Event_x0020_Meeting_x0020_Document_x0020_Type xmlns="df6b2545-d15d-4d63-86ca-644416e434f8">Briefing for speakers</Event_x0020_Meeting_x0020_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82DD8-0B7A-4E0B-BD18-DCD79B5A9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550B8-20F1-444A-A73B-BB6317719C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E9B031-B0EE-4429-A502-7BCC9CFB2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9812B-65AC-47D7-AAC7-86A522BC0B4E}">
  <ds:schemaRefs>
    <ds:schemaRef ds:uri="http://schemas.microsoft.com/office/2006/metadata/properties"/>
    <ds:schemaRef ds:uri="df6b2545-d15d-4d63-86ca-644416e434f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c3c4bbb-6da8-4c98-8c13-a85c6b75e98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80BC2D7-B189-48EE-9EA1-20E39930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D5DEA50D</Template>
  <TotalTime>84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Workshop 4 for corporate conference on Future of work_notes CGO.MDJ</vt:lpstr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note Workshop 3 EN</dc:title>
  <dc:subject/>
  <dc:creator>Mirjam de Jong</dc:creator>
  <cp:keywords/>
  <dc:description/>
  <cp:lastModifiedBy>Maria Lvova</cp:lastModifiedBy>
  <cp:revision>18</cp:revision>
  <cp:lastPrinted>2018-05-04T12:03:00Z</cp:lastPrinted>
  <dcterms:created xsi:type="dcterms:W3CDTF">2018-04-27T13:56:00Z</dcterms:created>
  <dcterms:modified xsi:type="dcterms:W3CDTF">2018-06-01T10:04:00Z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0x01010018C77CAB493C4CC28C851D171ACDEB5D00596B2BA2685E0A45A241E5F16505E5C500E7ACB01FCAFE3B4FAF4542484D921456</vt:lpwstr>
  </property>
  <property fmtid="{D5CDD505-2E9C-101B-9397-08002B2CF9AE}" pid="3" name="Area">
    <vt:lpwstr>Operations</vt:lpwstr>
  </property>
  <property fmtid="{D5CDD505-2E9C-101B-9397-08002B2CF9AE}" pid="4" name="_dlc_DocIdItemGuid">
    <vt:lpwstr>af97252c-618b-4216-93fb-d91280a121ff</vt:lpwstr>
  </property>
  <property fmtid="{D5CDD505-2E9C-101B-9397-08002B2CF9AE}" pid="5" name="OPS Tags">
    <vt:lpwstr>;#Qualifications;#</vt:lpwstr>
  </property>
  <property fmtid="{D5CDD505-2E9C-101B-9397-08002B2CF9AE}" pid="6" name="Operations Document Type">
    <vt:lpwstr>Note</vt:lpwstr>
  </property>
</Properties>
</file>